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9892" w14:textId="77777777" w:rsidR="005611AC" w:rsidRDefault="00AD2E86">
      <w:pPr>
        <w:widowControl w:val="0"/>
        <w:jc w:val="center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ANEXO I - TERMO DE REFERÊNCIA</w:t>
      </w:r>
    </w:p>
    <w:p w14:paraId="3FA9FE0B" w14:textId="77777777" w:rsidR="005611AC" w:rsidRDefault="005611AC">
      <w:pPr>
        <w:widowControl w:val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783C023" w14:textId="77777777" w:rsidR="005611AC" w:rsidRDefault="005611AC">
      <w:pP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</w:pPr>
    </w:p>
    <w:p w14:paraId="146EFE3F" w14:textId="77777777" w:rsidR="005611AC" w:rsidRDefault="005611AC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</w:p>
    <w:p w14:paraId="011C705C" w14:textId="77777777" w:rsidR="005611AC" w:rsidRDefault="00AD2E86">
      <w:pPr>
        <w:numPr>
          <w:ilvl w:val="0"/>
          <w:numId w:val="1"/>
        </w:numPr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>OBJETO DA CONTRATAÇÃO</w:t>
      </w:r>
    </w:p>
    <w:p w14:paraId="3B0F391D" w14:textId="77777777" w:rsidR="005611AC" w:rsidRPr="00B3694D" w:rsidRDefault="00AD2E86">
      <w:pPr>
        <w:numPr>
          <w:ilvl w:val="1"/>
          <w:numId w:val="1"/>
        </w:numPr>
        <w:spacing w:before="120" w:after="12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Constitui-se objeto desta licitação na modalidade de pregão eletrônico, a contratação de pessoa jurídica, para o fornecimento de forma futura ou entrega parcelada de </w:t>
      </w:r>
      <w:r>
        <w:rPr>
          <w:rFonts w:ascii="Arial Narrow" w:eastAsia="Arial Narrow" w:hAnsi="Arial Narrow" w:cs="Arial Narrow"/>
          <w:b/>
          <w:sz w:val="22"/>
          <w:szCs w:val="22"/>
        </w:rPr>
        <w:t>equipamentos energéticos</w:t>
      </w:r>
      <w:r>
        <w:rPr>
          <w:rFonts w:ascii="Arial Narrow" w:eastAsia="Arial Narrow" w:hAnsi="Arial Narrow" w:cs="Arial Narrow"/>
          <w:sz w:val="22"/>
          <w:szCs w:val="22"/>
        </w:rPr>
        <w:t>, necessários proteção de surtos elétricos com a finalidade de proteção do patrimônio público e  performance de computadores demandadas pelos usuários da Universidade Federal Fluminense (UFF), conforme especificações, quantitativos e preço constantes do item 7 deste termo de referência.</w:t>
      </w:r>
    </w:p>
    <w:p w14:paraId="520ED026" w14:textId="77777777" w:rsidR="00B3694D" w:rsidRDefault="00B3694D" w:rsidP="00B3694D">
      <w:pPr>
        <w:spacing w:before="120" w:after="120"/>
        <w:ind w:left="360"/>
        <w:jc w:val="both"/>
      </w:pPr>
    </w:p>
    <w:p w14:paraId="1D54131B" w14:textId="77777777" w:rsidR="005611AC" w:rsidRDefault="00AD2E86">
      <w:pPr>
        <w:numPr>
          <w:ilvl w:val="0"/>
          <w:numId w:val="1"/>
        </w:numPr>
        <w:tabs>
          <w:tab w:val="left" w:pos="540"/>
        </w:tabs>
        <w:spacing w:before="120" w:after="120"/>
        <w:ind w:left="0" w:firstLine="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>JUSTIFICATIVA DA DEMANDA.</w:t>
      </w:r>
    </w:p>
    <w:p w14:paraId="3D6DA95B" w14:textId="77777777" w:rsidR="005611AC" w:rsidRPr="00B3694D" w:rsidRDefault="00AD2E86">
      <w:pPr>
        <w:widowControl w:val="0"/>
        <w:numPr>
          <w:ilvl w:val="1"/>
          <w:numId w:val="1"/>
        </w:numPr>
        <w:tabs>
          <w:tab w:val="left" w:pos="540"/>
        </w:tabs>
        <w:spacing w:before="120" w:after="120"/>
        <w:jc w:val="both"/>
        <w:rPr>
          <w:color w:val="000000"/>
        </w:rPr>
      </w:pPr>
      <w:r w:rsidRPr="00B3694D">
        <w:rPr>
          <w:rFonts w:ascii="Arial Narrow" w:eastAsia="Arial Narrow" w:hAnsi="Arial Narrow" w:cs="Arial Narrow"/>
          <w:color w:val="000000"/>
          <w:sz w:val="22"/>
          <w:szCs w:val="22"/>
        </w:rPr>
        <w:t>Para continuar desenvolvendo seus projetos e viabilizar as ações descritas no PDI 2018-2022, a UFF dependerá das Tecnologias da Informação e Comunicação (TIC), pois estas servem de suporte às atividades acadêmicas e administrativas. No contexto acadêmico, servem como instrumento de pesquisa, coleta e armazenamento da informação, meio de acesso e de difusão da informação, entre docentes e discentes. No contexto administrativo, servem como instrumento de comunicação organizacional, automação e racionalização de processos administrativos e de gestão (planejamento, acompanhamento, avaliação e controle), proporcionando melhoria na qualidade das decisões tomadas pelos gestores, dando o apoio logístico para que a Universidade possa ser mais ágil e eficiente no cumprimento de sua missão, visando a qualidade dos serviços em benefício da sociedade e garantindo a  sustentabilidade ao desenvolvimento da UFF.</w:t>
      </w:r>
    </w:p>
    <w:p w14:paraId="3306EAE4" w14:textId="77777777" w:rsidR="00B3694D" w:rsidRDefault="00B3694D" w:rsidP="00B3694D">
      <w:pPr>
        <w:widowControl w:val="0"/>
        <w:tabs>
          <w:tab w:val="left" w:pos="540"/>
        </w:tabs>
        <w:spacing w:before="120" w:after="1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B6DF6B6" w14:textId="77777777" w:rsidR="00B3694D" w:rsidRPr="00B3694D" w:rsidRDefault="00B3694D" w:rsidP="00B3694D">
      <w:pPr>
        <w:widowControl w:val="0"/>
        <w:numPr>
          <w:ilvl w:val="1"/>
          <w:numId w:val="1"/>
        </w:numPr>
        <w:tabs>
          <w:tab w:val="left" w:pos="540"/>
        </w:tabs>
        <w:spacing w:before="120" w:after="1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B3694D">
        <w:rPr>
          <w:rFonts w:ascii="Arial Narrow" w:eastAsia="Arial Narrow" w:hAnsi="Arial Narrow" w:cs="Arial Narrow"/>
          <w:color w:val="000000"/>
          <w:sz w:val="22"/>
          <w:szCs w:val="22"/>
        </w:rPr>
        <w:t>Esta aquisição também se justifica no contexto atual, considerando incidente ocorrido recentemente de natureza elétrica e de refrigeração, tivemos um aumento da temperatura do ambiente computacional que provocou o desligamento automático de vários componentes/equipamentos por superaquecimento, deixando indisponíveis os principais serviços da STI (acesso à Internet, serviços de rede, e-mail, banco de dados, e sistemas computacionais internos) durante todo o dia, colocando nossa organização vulnerável perante o risco de perda de dados, e de indisponibilidade dos serviços da STI. Ao mesmo tempo em existe a necessidade urgente de substituição de equipamentos nobreak em função de seu longo tempo de vida útil, fato que traz vários problemas e comprometimentos graves, como aquecimento na rede elétrica de distribuição. </w:t>
      </w:r>
    </w:p>
    <w:p w14:paraId="349E5B57" w14:textId="77777777" w:rsidR="00B3694D" w:rsidRDefault="00B3694D" w:rsidP="00B3694D">
      <w:pPr>
        <w:widowControl w:val="0"/>
        <w:tabs>
          <w:tab w:val="left" w:pos="540"/>
        </w:tabs>
        <w:spacing w:before="120" w:after="120"/>
        <w:jc w:val="both"/>
        <w:rPr>
          <w:color w:val="000000"/>
        </w:rPr>
      </w:pPr>
    </w:p>
    <w:p w14:paraId="3A22ED6D" w14:textId="77777777" w:rsidR="005611AC" w:rsidRPr="00B3694D" w:rsidRDefault="00AD2E86">
      <w:pPr>
        <w:widowControl w:val="0"/>
        <w:numPr>
          <w:ilvl w:val="1"/>
          <w:numId w:val="1"/>
        </w:numPr>
        <w:tabs>
          <w:tab w:val="left" w:pos="540"/>
        </w:tabs>
        <w:spacing w:before="120" w:after="12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Com o crescente aumento dos serviços computacionais decorrente das ações e programas governamentais, torna-se necessário manter uma infraestrutura de TIC capaz de atender as demandas institucionais e manter os níveis de capacidade e desempenho,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garantindo  eficiência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eficácia e agilidade  na execução dos processos informatizados. </w:t>
      </w:r>
    </w:p>
    <w:p w14:paraId="68FB39C0" w14:textId="77777777" w:rsidR="00B3694D" w:rsidRDefault="00B3694D" w:rsidP="00B3694D">
      <w:pPr>
        <w:pStyle w:val="PargrafodaLista"/>
        <w:rPr>
          <w:color w:val="000000"/>
        </w:rPr>
      </w:pPr>
    </w:p>
    <w:p w14:paraId="08E35BB6" w14:textId="77777777" w:rsidR="005611AC" w:rsidRDefault="00AD2E86">
      <w:pPr>
        <w:widowControl w:val="0"/>
        <w:numPr>
          <w:ilvl w:val="1"/>
          <w:numId w:val="1"/>
        </w:numPr>
        <w:tabs>
          <w:tab w:val="left" w:pos="540"/>
        </w:tabs>
        <w:spacing w:before="120" w:after="12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Diante deste cenário, se faz necessário substituir componentes de equipamentos fora da garantia que apresentam defeitos ou se encontram com notável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obsolência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cuja manutenção é muito onerosa para a UFF; </w:t>
      </w:r>
    </w:p>
    <w:p w14:paraId="15420A3F" w14:textId="77777777" w:rsidR="005611AC" w:rsidRDefault="005611AC">
      <w:pPr>
        <w:widowControl w:val="0"/>
        <w:tabs>
          <w:tab w:val="left" w:pos="540"/>
        </w:tabs>
        <w:spacing w:before="120" w:after="120"/>
        <w:ind w:left="79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18FBE0C" w14:textId="77777777" w:rsidR="005611AC" w:rsidRDefault="00AD2E86">
      <w:pPr>
        <w:numPr>
          <w:ilvl w:val="0"/>
          <w:numId w:val="1"/>
        </w:numPr>
        <w:spacing w:after="180"/>
      </w:pPr>
      <w:r>
        <w:rPr>
          <w:rFonts w:ascii="Arial Narrow" w:eastAsia="Arial Narrow" w:hAnsi="Arial Narrow" w:cs="Arial Narrow"/>
          <w:b/>
          <w:sz w:val="22"/>
          <w:szCs w:val="22"/>
        </w:rPr>
        <w:t>BENEFÍCIOS DIRETOS E INDIRETOS.</w:t>
      </w:r>
    </w:p>
    <w:p w14:paraId="227A9DD0" w14:textId="77777777" w:rsidR="005611AC" w:rsidRDefault="00AD2E86">
      <w:pPr>
        <w:numPr>
          <w:ilvl w:val="1"/>
          <w:numId w:val="1"/>
        </w:numPr>
        <w:tabs>
          <w:tab w:val="left" w:pos="540"/>
        </w:tabs>
        <w:spacing w:before="120" w:after="12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Garantia das capacidades de processamento necessárias aos sistemas administrativos e institucionais alocados no ambiente computacional com hardware sempre atualizado;</w:t>
      </w:r>
    </w:p>
    <w:p w14:paraId="55050B07" w14:textId="77777777" w:rsidR="005611AC" w:rsidRDefault="00AD2E86">
      <w:pPr>
        <w:numPr>
          <w:ilvl w:val="1"/>
          <w:numId w:val="1"/>
        </w:numPr>
        <w:tabs>
          <w:tab w:val="left" w:pos="540"/>
        </w:tabs>
        <w:spacing w:before="120" w:after="12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Manutenção da eficiência e proteção do hardware, simplificando tarefas complexas e permitindo uma fácil adaptação do ambiente as alterações emergenciais dos sistemas;</w:t>
      </w:r>
    </w:p>
    <w:p w14:paraId="3D84FCE9" w14:textId="7D655153" w:rsidR="005611AC" w:rsidRDefault="00AD2E86">
      <w:pPr>
        <w:numPr>
          <w:ilvl w:val="1"/>
          <w:numId w:val="1"/>
        </w:numPr>
        <w:tabs>
          <w:tab w:val="left" w:pos="540"/>
        </w:tabs>
        <w:spacing w:before="120" w:after="12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Maior desempenho dos sistemas administrativos e institucionais com a diminuição do tempo de resposta a falhas e paralisações</w:t>
      </w:r>
      <w:r w:rsidR="00900007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não programadas.</w:t>
      </w:r>
    </w:p>
    <w:p w14:paraId="31E749AB" w14:textId="77777777" w:rsidR="00B3694D" w:rsidRDefault="00B3694D">
      <w:pPr>
        <w:tabs>
          <w:tab w:val="left" w:pos="540"/>
        </w:tabs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101E27E" w14:textId="77777777" w:rsidR="005611AC" w:rsidRDefault="00AD2E86">
      <w:pPr>
        <w:numPr>
          <w:ilvl w:val="0"/>
          <w:numId w:val="1"/>
        </w:numPr>
        <w:tabs>
          <w:tab w:val="left" w:pos="540"/>
        </w:tabs>
        <w:spacing w:before="120" w:after="12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>VALOR DE REFERÊNCIA</w:t>
      </w:r>
    </w:p>
    <w:p w14:paraId="105AA630" w14:textId="77777777" w:rsidR="005611AC" w:rsidRDefault="00AD2E86">
      <w:pPr>
        <w:numPr>
          <w:ilvl w:val="1"/>
          <w:numId w:val="1"/>
        </w:numPr>
        <w:tabs>
          <w:tab w:val="left" w:pos="0"/>
        </w:tabs>
        <w:spacing w:before="100" w:after="10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As especificações dos bens ou descrição dos objetos a serem adquiridos,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estão  discriminados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no  item 7 deste termo de referência.</w:t>
      </w:r>
    </w:p>
    <w:p w14:paraId="00A62B93" w14:textId="4B5BC785" w:rsidR="005611AC" w:rsidRPr="00B3694D" w:rsidRDefault="00AD2E86">
      <w:pPr>
        <w:numPr>
          <w:ilvl w:val="1"/>
          <w:numId w:val="1"/>
        </w:numPr>
        <w:tabs>
          <w:tab w:val="left" w:pos="0"/>
          <w:tab w:val="left" w:pos="1134"/>
        </w:tabs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despesa prevista pela UFF, para pagamento da aquisição do objeto deste certame, foi estimada em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R$ </w:t>
      </w:r>
      <w:r>
        <w:rPr>
          <w:rFonts w:ascii="Calibri" w:eastAsia="Calibri" w:hAnsi="Calibri" w:cs="Calibri"/>
          <w:b/>
          <w:sz w:val="22"/>
          <w:szCs w:val="22"/>
        </w:rPr>
        <w:t>R$1</w:t>
      </w:r>
      <w:r w:rsidR="00900007">
        <w:rPr>
          <w:rFonts w:ascii="Calibri" w:eastAsia="Calibri" w:hAnsi="Calibri" w:cs="Calibri"/>
          <w:b/>
          <w:sz w:val="22"/>
          <w:szCs w:val="22"/>
        </w:rPr>
        <w:t>44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 w:rsidR="00900007">
        <w:rPr>
          <w:rFonts w:ascii="Calibri" w:eastAsia="Calibri" w:hAnsi="Calibri" w:cs="Calibri"/>
          <w:b/>
          <w:sz w:val="22"/>
          <w:szCs w:val="22"/>
        </w:rPr>
        <w:t>546</w:t>
      </w:r>
      <w:r>
        <w:rPr>
          <w:rFonts w:ascii="Calibri" w:eastAsia="Calibri" w:hAnsi="Calibri" w:cs="Calibri"/>
          <w:b/>
          <w:sz w:val="22"/>
          <w:szCs w:val="22"/>
        </w:rPr>
        <w:t xml:space="preserve">,00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(Cento e </w:t>
      </w:r>
      <w:r w:rsidR="00900007">
        <w:rPr>
          <w:rFonts w:ascii="Arial Narrow" w:eastAsia="Arial Narrow" w:hAnsi="Arial Narrow" w:cs="Arial Narrow"/>
          <w:color w:val="000000"/>
          <w:sz w:val="22"/>
          <w:szCs w:val="22"/>
        </w:rPr>
        <w:t>quarenta e quatro mil, quinhentos e quarenta e seis reais</w:t>
      </w:r>
      <w:r>
        <w:rPr>
          <w:rFonts w:ascii="Arial Narrow" w:eastAsia="Arial Narrow" w:hAnsi="Arial Narrow" w:cs="Arial Narrow"/>
          <w:sz w:val="22"/>
          <w:szCs w:val="22"/>
        </w:rPr>
        <w:t xml:space="preserve">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conforme valor total da planilha do item 7 deste termo de referência.</w:t>
      </w:r>
    </w:p>
    <w:p w14:paraId="01E2595C" w14:textId="77777777" w:rsidR="00B3694D" w:rsidRDefault="00B3694D" w:rsidP="00B3694D">
      <w:pPr>
        <w:tabs>
          <w:tab w:val="left" w:pos="0"/>
          <w:tab w:val="left" w:pos="1134"/>
        </w:tabs>
        <w:spacing w:before="100" w:after="100"/>
        <w:ind w:left="360"/>
        <w:jc w:val="both"/>
      </w:pPr>
    </w:p>
    <w:p w14:paraId="638ABF51" w14:textId="77777777" w:rsidR="005611AC" w:rsidRDefault="00AD2E86">
      <w:pPr>
        <w:numPr>
          <w:ilvl w:val="0"/>
          <w:numId w:val="1"/>
        </w:numPr>
        <w:spacing w:before="120" w:after="12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>PRAZOS:</w:t>
      </w:r>
    </w:p>
    <w:p w14:paraId="5CDA61CC" w14:textId="77777777" w:rsidR="005611AC" w:rsidRDefault="00AD2E86">
      <w:pPr>
        <w:widowControl w:val="0"/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O prazo para a entrega dos bens a serem adquiridos, será de </w:t>
      </w:r>
      <w:r>
        <w:rPr>
          <w:rFonts w:ascii="Arial Narrow" w:eastAsia="Arial Narrow" w:hAnsi="Arial Narrow" w:cs="Arial Narrow"/>
          <w:b/>
          <w:sz w:val="22"/>
          <w:szCs w:val="22"/>
        </w:rPr>
        <w:t>30 (trinta)</w:t>
      </w:r>
      <w:r>
        <w:rPr>
          <w:rFonts w:ascii="Arial Narrow" w:eastAsia="Arial Narrow" w:hAnsi="Arial Narrow" w:cs="Arial Narrow"/>
          <w:sz w:val="22"/>
          <w:szCs w:val="22"/>
        </w:rPr>
        <w:t xml:space="preserve"> dias, contado a partir da data de recebimento da Nota de Empenho correspondente;</w:t>
      </w:r>
    </w:p>
    <w:p w14:paraId="40E6B8C2" w14:textId="77777777" w:rsidR="005611AC" w:rsidRPr="00B3694D" w:rsidRDefault="00AD2E86">
      <w:pPr>
        <w:widowControl w:val="0"/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O prazo de garantia dos bens a serem adquiridos, será de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12 (doze) </w:t>
      </w:r>
      <w:r>
        <w:rPr>
          <w:rFonts w:ascii="Arial Narrow" w:eastAsia="Arial Narrow" w:hAnsi="Arial Narrow" w:cs="Arial Narrow"/>
          <w:sz w:val="22"/>
          <w:szCs w:val="22"/>
        </w:rPr>
        <w:t xml:space="preserve">meses, para todas as peças e componentes cotados neste termo, e será contado a partir da data de entrega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dos mesmos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no órgão adquirente</w:t>
      </w:r>
      <w:r w:rsidR="00B3694D">
        <w:rPr>
          <w:rFonts w:ascii="Arial Narrow" w:eastAsia="Arial Narrow" w:hAnsi="Arial Narrow" w:cs="Arial Narrow"/>
          <w:sz w:val="22"/>
          <w:szCs w:val="22"/>
        </w:rPr>
        <w:t>.</w:t>
      </w:r>
    </w:p>
    <w:p w14:paraId="6E4AC8A9" w14:textId="77777777" w:rsidR="00B3694D" w:rsidRDefault="00B3694D" w:rsidP="00B3694D">
      <w:pPr>
        <w:widowControl w:val="0"/>
        <w:spacing w:before="100" w:after="100"/>
        <w:ind w:left="360"/>
        <w:jc w:val="both"/>
      </w:pPr>
    </w:p>
    <w:p w14:paraId="4600E199" w14:textId="77777777" w:rsidR="005611AC" w:rsidRDefault="00AD2E86">
      <w:pPr>
        <w:numPr>
          <w:ilvl w:val="0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GARANTIA ON-SITE</w:t>
      </w:r>
    </w:p>
    <w:p w14:paraId="2ADB7B22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Durante o prazo de garantia de funcionamento, a contratada prestará serviços de assistência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técnica  On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>-Site, com vistas a substituir os componentes com defeito por outros em perfeitas condições de uso, sem ônus adicionais para a Universidade;</w:t>
      </w:r>
    </w:p>
    <w:p w14:paraId="410F84F1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Os componentes que apresentarem vícios no período de vigência da garantia devem ser substituídos por outros novos, de primeiro uso e apresentar padrões de qualidade e desempenho iguais ou superiores aos especificados no presente termo de referência;</w:t>
      </w:r>
    </w:p>
    <w:p w14:paraId="0B6BF73B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Deverá ser disponibilizado à UFF o serviço de atendimento ao cliente, visando abrir chamados e acionar a assistência técnica, funcionando em horário comercial, através de telefone 0800 (discagem direta gratuita), podendo a empresa disponibilizar abertura de chamados pela internet);</w:t>
      </w:r>
    </w:p>
    <w:p w14:paraId="47F85891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As solicitações de troca de componentes deverão ser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resolvidos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em até 5 (cinco) dias úteis, contados do primeiro dia útil seguinte à abertura do chamado; </w:t>
      </w:r>
    </w:p>
    <w:p w14:paraId="1D6A8D1E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CONTRATADA deverá, quando da assinatura da Ata de Registro de Preços, assinar um termo de responsabilidade pela garantia dos componentes, independente da garantia do fabricante. </w:t>
      </w:r>
    </w:p>
    <w:p w14:paraId="1BB47498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As trocas deverão ocorrer de acordo com instruções a serem dadas pela Superintendência de Tecnologia da Informação (STI) ou por servidor da UFF designado para esse fim;</w:t>
      </w:r>
    </w:p>
    <w:p w14:paraId="74E9A3A3" w14:textId="77777777" w:rsidR="005611AC" w:rsidRDefault="005611AC">
      <w:pPr>
        <w:spacing w:before="100" w:after="100"/>
        <w:ind w:left="79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2379BCD" w14:textId="77777777" w:rsidR="005611AC" w:rsidRDefault="00AD2E86">
      <w:pPr>
        <w:numPr>
          <w:ilvl w:val="0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ESPECIFICAÇÃO DOS EQUIPAMENTOS ENERGÉTICOS</w:t>
      </w:r>
    </w:p>
    <w:p w14:paraId="6A60DD6A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Descrição técnica, quantidades e preços estimados.</w:t>
      </w:r>
    </w:p>
    <w:tbl>
      <w:tblPr>
        <w:tblW w:w="9972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00" w:firstRow="0" w:lastRow="0" w:firstColumn="0" w:lastColumn="0" w:noHBand="0" w:noVBand="0"/>
      </w:tblPr>
      <w:tblGrid>
        <w:gridCol w:w="662"/>
        <w:gridCol w:w="7972"/>
        <w:gridCol w:w="674"/>
        <w:gridCol w:w="664"/>
      </w:tblGrid>
      <w:tr w:rsidR="005611AC" w14:paraId="6387D79E" w14:textId="77777777">
        <w:tc>
          <w:tcPr>
            <w:tcW w:w="9307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C9DAF8"/>
            <w:vAlign w:val="center"/>
          </w:tcPr>
          <w:p w14:paraId="211B1276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Equipamentos Energéticos</w:t>
            </w:r>
          </w:p>
        </w:tc>
        <w:tc>
          <w:tcPr>
            <w:tcW w:w="66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C9DAF8"/>
            <w:vAlign w:val="center"/>
          </w:tcPr>
          <w:p w14:paraId="26A00260" w14:textId="77777777" w:rsidR="005611AC" w:rsidRDefault="005611AC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5611AC" w14:paraId="01921E09" w14:textId="77777777"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34" w:type="dxa"/>
              <w:right w:w="45" w:type="dxa"/>
            </w:tcMar>
            <w:vAlign w:val="center"/>
          </w:tcPr>
          <w:p w14:paraId="6D67B1D2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7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103" w:type="dxa"/>
              <w:right w:w="45" w:type="dxa"/>
            </w:tcMar>
            <w:vAlign w:val="center"/>
          </w:tcPr>
          <w:p w14:paraId="3E1DB4EF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DESCRIÇÃO TÉCNICA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103" w:type="dxa"/>
              <w:right w:w="45" w:type="dxa"/>
            </w:tcMar>
            <w:vAlign w:val="center"/>
          </w:tcPr>
          <w:p w14:paraId="14B3012E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UND</w:t>
            </w:r>
          </w:p>
        </w:tc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103" w:type="dxa"/>
              <w:right w:w="45" w:type="dxa"/>
            </w:tcMar>
            <w:vAlign w:val="center"/>
          </w:tcPr>
          <w:p w14:paraId="3240F8B6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QTD.</w:t>
            </w:r>
          </w:p>
        </w:tc>
      </w:tr>
      <w:tr w:rsidR="005611AC" w14:paraId="7E36A177" w14:textId="77777777">
        <w:trPr>
          <w:trHeight w:val="2380"/>
        </w:trPr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  <w:right w:w="45" w:type="dxa"/>
            </w:tcMar>
            <w:vAlign w:val="center"/>
          </w:tcPr>
          <w:p w14:paraId="5D96F06C" w14:textId="77777777" w:rsidR="005611AC" w:rsidRDefault="00AD2E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  <w:right w:w="45" w:type="dxa"/>
            </w:tcMar>
            <w:vAlign w:val="center"/>
          </w:tcPr>
          <w:p w14:paraId="02923F13" w14:textId="77777777" w:rsidR="005611AC" w:rsidRDefault="00AD2E86">
            <w:pPr>
              <w:rPr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Nobreak DC Tipo II:</w:t>
            </w:r>
            <w:r>
              <w:rPr>
                <w:rFonts w:ascii="Arial Narrow" w:eastAsia="Arial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Com potência de saída de 10KVA ; Tensão nominal configurável para 208V ou 240V - tensão de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saida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nominal; Eficiência em carga (total): 92 %; Distorção da tensão) : inferior a 3 %;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Freqüência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(sincronizada com rede elétrica): 60 Hz +/- 3 Hz ajustável pelo usuário +/- 0.1; Fator de crista: 3 : 1; Forma de onda senoidal de saída; Topologia de Dupla conversão online;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Bypass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interno (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automátino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e manual) . Intervalo de tensão ajustável para as principais operações: 160 ~ 280 VAC; Tensão nominal: 240 V; Com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freqüência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de 60 Hz +/- 5 Hz (auto detecção); Conexão de entrada: 3 fios rígidos (F+N+T); Conexões de Saída: 2x Fio rígido 3(2PH + G); 1x Fio rígido 4(2PH + N +G); ; 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Tensão entrada e de saída com 208v F+N+T monofásico ou 2F+N+T bifásico 240v configurável; Com autonomia típica em meia carga 14 minutos (4000 Watts) Tempo de autonomia típico em carga total 4.0 minutos (8000 Watts). Deve possui eficiência mínima a plena carga de 92%; Distorção harmônica total: &lt;4 % plena carga. Deve possuir uma porta de interface DB- 9 RS-232 e uma RJ-45 (10/100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Base-T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); Deve possui Compatibilidade com geradores de tensão; Deve possuir Capacidade expansível por uso de baterias externa; Não serão aceitas baterias automotivas; Baterias: todas as baterias deverão ser seladas para uso estacionário, livre de manutenção e à prova de vazamento; Será possível a substituição das baterias com o equipamento ligado (hot-swap). Possui Proteções contra sobrecarga e surtos de tensão; Possuir Alarmes: Visual e sonoro; Painel de comando que permita o controle e a visualização de indicadores do nível de carga e de bateria, online, troca de bateria, sobrecarga; </w:t>
            </w:r>
            <w:proofErr w:type="gram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Com</w:t>
            </w:r>
            <w:proofErr w:type="gram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cartucho de substituição de bateria para 2 cartuchos (16 baterias 12 V / 6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Ah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cada). Cabo RS-232 de sinalização inteligente para Nobreak; CD com software de instalação e manuais inclusos.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O termo foi elaborado de acordo com as necessidades já existentes do parque estrutural da universidade. 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  <w:right w:w="45" w:type="dxa"/>
            </w:tcMar>
            <w:vAlign w:val="center"/>
          </w:tcPr>
          <w:p w14:paraId="3E7D7C9E" w14:textId="77777777" w:rsidR="005611AC" w:rsidRDefault="00AD2E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UND</w:t>
            </w:r>
          </w:p>
          <w:p w14:paraId="1B7D4816" w14:textId="77777777" w:rsidR="00900007" w:rsidRPr="00900007" w:rsidRDefault="00900007" w:rsidP="00900007"/>
          <w:p w14:paraId="1D3C6206" w14:textId="77777777" w:rsidR="00900007" w:rsidRPr="00900007" w:rsidRDefault="00900007" w:rsidP="00900007"/>
          <w:p w14:paraId="1D80A3D2" w14:textId="77777777" w:rsidR="00900007" w:rsidRPr="00900007" w:rsidRDefault="00900007" w:rsidP="00900007"/>
          <w:p w14:paraId="4CC89301" w14:textId="77777777" w:rsidR="00900007" w:rsidRPr="00900007" w:rsidRDefault="00900007" w:rsidP="00900007"/>
          <w:p w14:paraId="6B2E60C3" w14:textId="77777777" w:rsidR="00900007" w:rsidRPr="00900007" w:rsidRDefault="00900007" w:rsidP="00900007"/>
          <w:p w14:paraId="40C5DC85" w14:textId="77777777" w:rsidR="00900007" w:rsidRDefault="00900007" w:rsidP="00900007">
            <w:pPr>
              <w:rPr>
                <w:rFonts w:ascii="Arial" w:eastAsia="Arial" w:hAnsi="Arial" w:cs="Arial"/>
              </w:rPr>
            </w:pPr>
          </w:p>
          <w:p w14:paraId="680961D6" w14:textId="77777777" w:rsidR="00900007" w:rsidRPr="00900007" w:rsidRDefault="00900007" w:rsidP="00900007"/>
          <w:p w14:paraId="248988A4" w14:textId="77777777" w:rsidR="00900007" w:rsidRPr="00900007" w:rsidRDefault="00900007" w:rsidP="00900007"/>
          <w:p w14:paraId="33C38406" w14:textId="77777777" w:rsidR="00900007" w:rsidRDefault="00900007" w:rsidP="00900007">
            <w:pPr>
              <w:rPr>
                <w:rFonts w:ascii="Arial" w:eastAsia="Arial" w:hAnsi="Arial" w:cs="Arial"/>
              </w:rPr>
            </w:pPr>
          </w:p>
          <w:p w14:paraId="7046EF39" w14:textId="77777777" w:rsidR="00900007" w:rsidRDefault="00900007" w:rsidP="00900007">
            <w:pPr>
              <w:rPr>
                <w:rFonts w:ascii="Arial" w:eastAsia="Arial" w:hAnsi="Arial" w:cs="Arial"/>
              </w:rPr>
            </w:pPr>
          </w:p>
          <w:p w14:paraId="3F8A60B1" w14:textId="6EACA51B" w:rsidR="00900007" w:rsidRPr="00900007" w:rsidRDefault="00900007" w:rsidP="00900007"/>
        </w:tc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  <w:right w:w="45" w:type="dxa"/>
            </w:tcMar>
            <w:vAlign w:val="center"/>
          </w:tcPr>
          <w:p w14:paraId="3AAC4743" w14:textId="77777777" w:rsidR="005611AC" w:rsidRDefault="00AD2E86">
            <w:pPr>
              <w:jc w:val="center"/>
            </w:pPr>
            <w:r>
              <w:rPr>
                <w:rFonts w:ascii="Liberation Serif" w:eastAsia="Liberation Serif" w:hAnsi="Liberation Serif" w:cs="Liberation Serif"/>
                <w:highlight w:val="yellow"/>
              </w:rPr>
              <w:t>6</w:t>
            </w:r>
          </w:p>
        </w:tc>
      </w:tr>
    </w:tbl>
    <w:p w14:paraId="10DD410D" w14:textId="77777777" w:rsidR="005611AC" w:rsidRDefault="005611AC">
      <w:pPr>
        <w:rPr>
          <w:rFonts w:ascii="Liberation Serif" w:eastAsia="Liberation Serif" w:hAnsi="Liberation Serif" w:cs="Liberation Serif"/>
        </w:rPr>
      </w:pPr>
    </w:p>
    <w:tbl>
      <w:tblPr>
        <w:tblW w:w="99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1470"/>
        <w:gridCol w:w="2937"/>
        <w:gridCol w:w="1383"/>
        <w:gridCol w:w="1383"/>
        <w:gridCol w:w="1383"/>
        <w:gridCol w:w="1416"/>
      </w:tblGrid>
      <w:tr w:rsidR="005611AC" w14:paraId="7BE83B81" w14:textId="77777777"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100" w:type="dxa"/>
            </w:tcMar>
            <w:vAlign w:val="center"/>
          </w:tcPr>
          <w:p w14:paraId="13155C14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bookmarkStart w:id="0" w:name="_Hlk24386657"/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357A2244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29814A9E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 1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6D7A8"/>
            <w:tcMar>
              <w:left w:w="-2" w:type="dxa"/>
              <w:right w:w="0" w:type="dxa"/>
            </w:tcMar>
            <w:vAlign w:val="center"/>
          </w:tcPr>
          <w:p w14:paraId="601866EA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 2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2330FED8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 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29AD6429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Preço médio</w:t>
            </w:r>
          </w:p>
        </w:tc>
      </w:tr>
      <w:tr w:rsidR="005611AC" w14:paraId="32A0DDF0" w14:textId="77777777">
        <w:tc>
          <w:tcPr>
            <w:tcW w:w="146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173FB010" w14:textId="77777777" w:rsidR="005611AC" w:rsidRDefault="00AD2E8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1521462" w14:textId="77777777" w:rsidR="005611AC" w:rsidRDefault="00AD2E86">
            <w:pPr>
              <w:rPr>
                <w:rFonts w:ascii="Arial Narrow" w:eastAsia="Arial" w:hAnsi="Arial Narrow" w:cs="Arial"/>
                <w:b/>
                <w:sz w:val="24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Nobreak DC Tipo II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4E49A6A" w14:textId="1EDE8010" w:rsidR="005611AC" w:rsidRDefault="00AD2E86">
            <w:pPr>
              <w:jc w:val="righ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R$ 21.</w:t>
            </w:r>
            <w:r w:rsidR="00900007">
              <w:rPr>
                <w:rFonts w:ascii="Liberation Serif" w:eastAsia="Liberation Serif" w:hAnsi="Liberation Serif" w:cs="Liberation Serif"/>
              </w:rPr>
              <w:t>523</w:t>
            </w:r>
            <w:r>
              <w:rPr>
                <w:rFonts w:ascii="Liberation Serif" w:eastAsia="Liberation Serif" w:hAnsi="Liberation Serif" w:cs="Liberation Serif"/>
              </w:rPr>
              <w:t>,00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104B1CC" w14:textId="0126902C" w:rsidR="005611AC" w:rsidRDefault="00AD2E86">
            <w:pPr>
              <w:jc w:val="right"/>
            </w:pPr>
            <w:r>
              <w:rPr>
                <w:rFonts w:ascii="Liberation Serif" w:eastAsia="Liberation Serif" w:hAnsi="Liberation Serif" w:cs="Liberation Serif"/>
              </w:rPr>
              <w:t>R$ 18.</w:t>
            </w:r>
            <w:r w:rsidR="00900007">
              <w:rPr>
                <w:rFonts w:ascii="Liberation Serif" w:eastAsia="Liberation Serif" w:hAnsi="Liberation Serif" w:cs="Liberation Serif"/>
              </w:rPr>
              <w:t>750</w:t>
            </w:r>
            <w:r>
              <w:rPr>
                <w:rFonts w:ascii="Liberation Serif" w:eastAsia="Liberation Serif" w:hAnsi="Liberation Serif" w:cs="Liberation Serif"/>
              </w:rPr>
              <w:t>,00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7C25A384" w14:textId="195B7956" w:rsidR="005611AC" w:rsidRDefault="00900007">
            <w:pPr>
              <w:jc w:val="right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32.000,00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AFEF8F0" w14:textId="6DA43619" w:rsidR="005611AC" w:rsidRDefault="00AD2E86">
            <w:pPr>
              <w:jc w:val="right"/>
            </w:pPr>
            <w:r>
              <w:rPr>
                <w:rFonts w:ascii="Liberation Serif" w:eastAsia="Liberation Serif" w:hAnsi="Liberation Serif" w:cs="Liberation Serif"/>
              </w:rPr>
              <w:t>R$ 2</w:t>
            </w:r>
            <w:r w:rsidR="00900007">
              <w:rPr>
                <w:rFonts w:ascii="Liberation Serif" w:eastAsia="Liberation Serif" w:hAnsi="Liberation Serif" w:cs="Liberation Serif"/>
              </w:rPr>
              <w:t>4</w:t>
            </w:r>
            <w:r>
              <w:rPr>
                <w:rFonts w:ascii="Liberation Serif" w:eastAsia="Liberation Serif" w:hAnsi="Liberation Serif" w:cs="Liberation Serif"/>
              </w:rPr>
              <w:t>.</w:t>
            </w:r>
            <w:r w:rsidR="00900007">
              <w:rPr>
                <w:rFonts w:ascii="Liberation Serif" w:eastAsia="Liberation Serif" w:hAnsi="Liberation Serif" w:cs="Liberation Serif"/>
              </w:rPr>
              <w:t>091</w:t>
            </w:r>
            <w:r>
              <w:rPr>
                <w:rFonts w:ascii="Liberation Serif" w:eastAsia="Liberation Serif" w:hAnsi="Liberation Serif" w:cs="Liberation Serif"/>
              </w:rPr>
              <w:t>,00</w:t>
            </w:r>
          </w:p>
        </w:tc>
      </w:tr>
      <w:bookmarkEnd w:id="0"/>
    </w:tbl>
    <w:p w14:paraId="606F165A" w14:textId="77777777" w:rsidR="005611AC" w:rsidRDefault="005611AC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97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1470"/>
        <w:gridCol w:w="2937"/>
        <w:gridCol w:w="1410"/>
        <w:gridCol w:w="1410"/>
        <w:gridCol w:w="2748"/>
      </w:tblGrid>
      <w:tr w:rsidR="005611AC" w14:paraId="667C7B5C" w14:textId="77777777"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100" w:type="dxa"/>
            </w:tcMar>
            <w:vAlign w:val="center"/>
          </w:tcPr>
          <w:p w14:paraId="20B9768E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bookmarkStart w:id="1" w:name="_Hlk24386668"/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2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0605E2BB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2AD7DBCE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Preço médio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36182655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Quantidade total solicitada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57836312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Total estimado </w:t>
            </w:r>
          </w:p>
        </w:tc>
      </w:tr>
      <w:tr w:rsidR="005611AC" w14:paraId="74735C30" w14:textId="77777777">
        <w:tc>
          <w:tcPr>
            <w:tcW w:w="147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14:paraId="50955FBF" w14:textId="77777777" w:rsidR="005611AC" w:rsidRDefault="00AD2E8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93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D870EBD" w14:textId="77777777" w:rsidR="005611AC" w:rsidRDefault="00AD2E86">
            <w:pPr>
              <w:rPr>
                <w:rFonts w:ascii="Arial Narrow" w:eastAsia="Arial" w:hAnsi="Arial Narrow" w:cs="Arial"/>
                <w:b/>
                <w:sz w:val="24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Nobreak DC Tipo II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14D0ECD" w14:textId="08C4ECFB" w:rsidR="005611AC" w:rsidRDefault="00AD2E86">
            <w:pPr>
              <w:jc w:val="right"/>
            </w:pPr>
            <w:r>
              <w:rPr>
                <w:rFonts w:ascii="Liberation Serif" w:eastAsia="Liberation Serif" w:hAnsi="Liberation Serif" w:cs="Liberation Serif"/>
              </w:rPr>
              <w:t>R$ 2</w:t>
            </w:r>
            <w:r w:rsidR="00900007">
              <w:rPr>
                <w:rFonts w:ascii="Liberation Serif" w:eastAsia="Liberation Serif" w:hAnsi="Liberation Serif" w:cs="Liberation Serif"/>
              </w:rPr>
              <w:t>4</w:t>
            </w:r>
            <w:r>
              <w:rPr>
                <w:rFonts w:ascii="Liberation Serif" w:eastAsia="Liberation Serif" w:hAnsi="Liberation Serif" w:cs="Liberation Serif"/>
              </w:rPr>
              <w:t>.</w:t>
            </w:r>
            <w:r w:rsidR="00900007">
              <w:rPr>
                <w:rFonts w:ascii="Liberation Serif" w:eastAsia="Liberation Serif" w:hAnsi="Liberation Serif" w:cs="Liberation Serif"/>
              </w:rPr>
              <w:t>091</w:t>
            </w:r>
            <w:r>
              <w:rPr>
                <w:rFonts w:ascii="Liberation Serif" w:eastAsia="Liberation Serif" w:hAnsi="Liberation Serif" w:cs="Liberation Serif"/>
              </w:rPr>
              <w:t>,00</w:t>
            </w:r>
          </w:p>
        </w:tc>
        <w:tc>
          <w:tcPr>
            <w:tcW w:w="140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43D9368" w14:textId="77777777" w:rsidR="005611AC" w:rsidRDefault="00AD2E8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274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94CDAD1" w14:textId="50BBF12F" w:rsidR="005611AC" w:rsidRDefault="00AD2E8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>1</w:t>
            </w:r>
            <w:r w:rsidR="00900007">
              <w:rPr>
                <w:rFonts w:ascii="Liberation Serif" w:eastAsia="Liberation Serif" w:hAnsi="Liberation Serif" w:cs="Liberation Serif"/>
              </w:rPr>
              <w:t>44</w:t>
            </w:r>
            <w:r>
              <w:rPr>
                <w:rFonts w:ascii="Liberation Serif" w:eastAsia="Liberation Serif" w:hAnsi="Liberation Serif" w:cs="Liberation Serif"/>
              </w:rPr>
              <w:t>.</w:t>
            </w:r>
            <w:r w:rsidR="00900007">
              <w:rPr>
                <w:rFonts w:ascii="Liberation Serif" w:eastAsia="Liberation Serif" w:hAnsi="Liberation Serif" w:cs="Liberation Serif"/>
              </w:rPr>
              <w:t>546</w:t>
            </w:r>
            <w:r>
              <w:rPr>
                <w:rFonts w:ascii="Liberation Serif" w:eastAsia="Liberation Serif" w:hAnsi="Liberation Serif" w:cs="Liberation Serif"/>
              </w:rPr>
              <w:t>,00</w:t>
            </w:r>
          </w:p>
        </w:tc>
      </w:tr>
      <w:tr w:rsidR="005611AC" w14:paraId="7AD276DA" w14:textId="77777777">
        <w:trPr>
          <w:trHeight w:val="240"/>
        </w:trPr>
        <w:tc>
          <w:tcPr>
            <w:tcW w:w="7228" w:type="dxa"/>
            <w:gridSpan w:val="4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100" w:type="dxa"/>
            </w:tcMar>
            <w:vAlign w:val="center"/>
          </w:tcPr>
          <w:p w14:paraId="08A49C98" w14:textId="77777777" w:rsidR="005611AC" w:rsidRDefault="005611A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E183023" w14:textId="77777777" w:rsidR="005611AC" w:rsidRDefault="00AD2E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 Global</w:t>
            </w:r>
          </w:p>
        </w:tc>
        <w:tc>
          <w:tcPr>
            <w:tcW w:w="274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B6D7A8"/>
            <w:tcMar>
              <w:left w:w="-2" w:type="dxa"/>
            </w:tcMar>
            <w:vAlign w:val="center"/>
          </w:tcPr>
          <w:p w14:paraId="70FB7C0A" w14:textId="063D9A98" w:rsidR="005611AC" w:rsidRDefault="00AD2E86">
            <w:pPr>
              <w:jc w:val="center"/>
            </w:pPr>
            <w:r>
              <w:rPr>
                <w:rFonts w:ascii="Arial" w:eastAsia="Arial" w:hAnsi="Arial" w:cs="Arial"/>
                <w:b/>
              </w:rPr>
              <w:t>R$1</w:t>
            </w:r>
            <w:r w:rsidR="00900007">
              <w:rPr>
                <w:rFonts w:ascii="Arial" w:eastAsia="Arial" w:hAnsi="Arial" w:cs="Arial"/>
                <w:b/>
              </w:rPr>
              <w:t>44</w:t>
            </w:r>
            <w:r>
              <w:rPr>
                <w:rFonts w:ascii="Arial" w:eastAsia="Arial" w:hAnsi="Arial" w:cs="Arial"/>
                <w:b/>
              </w:rPr>
              <w:t>.</w:t>
            </w:r>
            <w:r w:rsidR="00900007">
              <w:rPr>
                <w:rFonts w:ascii="Arial" w:eastAsia="Arial" w:hAnsi="Arial" w:cs="Arial"/>
                <w:b/>
              </w:rPr>
              <w:t>546</w:t>
            </w:r>
            <w:r>
              <w:rPr>
                <w:rFonts w:ascii="Arial" w:eastAsia="Arial" w:hAnsi="Arial" w:cs="Arial"/>
                <w:b/>
              </w:rPr>
              <w:t>,00</w:t>
            </w:r>
          </w:p>
        </w:tc>
      </w:tr>
      <w:bookmarkEnd w:id="1"/>
    </w:tbl>
    <w:p w14:paraId="772686B2" w14:textId="77777777" w:rsidR="005611AC" w:rsidRDefault="005611AC">
      <w:pPr>
        <w:rPr>
          <w:rFonts w:ascii="Arial Narrow" w:eastAsia="Arial Narrow" w:hAnsi="Arial Narrow" w:cs="Arial Narrow"/>
          <w:sz w:val="22"/>
          <w:szCs w:val="22"/>
        </w:rPr>
      </w:pPr>
    </w:p>
    <w:p w14:paraId="1C0A6476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PREÇO MÉDIO DE MERCADO</w:t>
      </w:r>
    </w:p>
    <w:p w14:paraId="55BCB7D7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Para a obtenção do preço médio de mercado, foram feitas pesquisas em diversos sites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de  fornecedores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e lojas de revenda dos produtos nos mês de novembro de 2019, considerando as especificações contidas no item 7 deste termo de referência. Os endereços dos sites e prints das páginas pesquisadas são partes integrantes do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processo  n.º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222222"/>
          <w:sz w:val="22"/>
          <w:szCs w:val="22"/>
        </w:rPr>
        <w:t>23069.042202/2019-58</w:t>
      </w:r>
    </w:p>
    <w:p w14:paraId="43E59D0E" w14:textId="77777777" w:rsidR="005611AC" w:rsidRDefault="005611AC">
      <w:pPr>
        <w:spacing w:before="100" w:after="10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AC6F5C8" w14:textId="77777777" w:rsidR="005611AC" w:rsidRDefault="00AD2E86">
      <w:pPr>
        <w:numPr>
          <w:ilvl w:val="0"/>
          <w:numId w:val="1"/>
        </w:numPr>
        <w:spacing w:before="100" w:after="100"/>
        <w:ind w:left="0" w:firstLine="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RECEBIMENTO DOS EQUIPAMENTOS ENERGÉTICOS </w:t>
      </w:r>
    </w:p>
    <w:p w14:paraId="1DCFCF60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Os </w:t>
      </w:r>
      <w:r>
        <w:rPr>
          <w:rFonts w:ascii="Arial Narrow" w:eastAsia="Arial Narrow" w:hAnsi="Arial Narrow" w:cs="Arial Narrow"/>
          <w:sz w:val="22"/>
          <w:szCs w:val="22"/>
        </w:rPr>
        <w:t>equipamentos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, deverão ser entregues de acordo com as especificações do item 7 deste termo de referência, em perfeito estado de funcionamento, sem amassados, arranhões ou outros problemas lógicos ou físicos;</w:t>
      </w:r>
    </w:p>
    <w:p w14:paraId="485367EC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O prazo para a entrega será de até 30 (trinta) dias corridos a contar da data de recebimento da “Solicitação de Entrega de Material”, e de acordo com as especificações constantes neste Termo de Referência;</w:t>
      </w:r>
    </w:p>
    <w:p w14:paraId="42C69E9A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A verificação técnica e o aceite definitivo dos componentes de Computadores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deverá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ocorrer no prazo máximo de 10 (dez) dias úteis, contados do primeiro dia útil após a entrega de todos os itens    em local a ser indicado pela universidade;</w:t>
      </w:r>
    </w:p>
    <w:p w14:paraId="58BF59ED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O aceite definitivo dos componentes será efetuado por servidores designados pela Unidade requisitante, que efetuará o ateste para fins de liberação do pagamento das Notas Fiscais/Faturas e do início da contagem do prazo da garantia On-Site;</w:t>
      </w:r>
    </w:p>
    <w:p w14:paraId="3FE9CD16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 xml:space="preserve">Na hipótese de constatação de anomalias que comprometam a utilização adequada do material, ele será rejeitado, em todo ou em parte, conforme dispõe o Art. 76 da Lei no 8.666/93, sem qualquer ônus para a UFF, </w:t>
      </w:r>
      <w:r>
        <w:rPr>
          <w:rFonts w:ascii="Arial Narrow" w:eastAsia="Arial Narrow" w:hAnsi="Arial Narrow" w:cs="Arial Narrow"/>
          <w:sz w:val="22"/>
          <w:szCs w:val="22"/>
        </w:rPr>
        <w:lastRenderedPageBreak/>
        <w:t>devendo a contratada reapresentá-lo (s) no prazo máximo de 15 (quinze) dias, após o comunicado feito pela UFF;</w:t>
      </w:r>
    </w:p>
    <w:p w14:paraId="076DA5BA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Caberá a contratada arcar com as despesas de embalagem e frete do material a ser entregue;</w:t>
      </w:r>
    </w:p>
    <w:p w14:paraId="147B9728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Os materiais deverão ser entregues acondicionados em embalagem própria para cada material;</w:t>
      </w:r>
    </w:p>
    <w:p w14:paraId="6462910D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Somente será aceito material novo e de acordo com o especificado, não se admitindo, sob qualquer hipótese, material defeituoso, fora do padrão ou de qualidade duvidosa.</w:t>
      </w:r>
    </w:p>
    <w:p w14:paraId="3463906A" w14:textId="77777777" w:rsidR="005611AC" w:rsidRDefault="005611AC">
      <w:pPr>
        <w:spacing w:before="100" w:after="100"/>
        <w:jc w:val="both"/>
        <w:rPr>
          <w:sz w:val="22"/>
          <w:szCs w:val="22"/>
        </w:rPr>
      </w:pPr>
    </w:p>
    <w:p w14:paraId="6AA8138A" w14:textId="77777777" w:rsidR="005611AC" w:rsidRDefault="00AD2E86">
      <w:pPr>
        <w:numPr>
          <w:ilvl w:val="0"/>
          <w:numId w:val="1"/>
        </w:numPr>
        <w:spacing w:before="100" w:after="100"/>
        <w:ind w:left="0" w:firstLine="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OBRIGAÇÕES DAS PARTES</w:t>
      </w:r>
    </w:p>
    <w:p w14:paraId="4D027797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Caberá a licitante vencedora</w:t>
      </w:r>
    </w:p>
    <w:p w14:paraId="72B2A941" w14:textId="77777777" w:rsidR="005611AC" w:rsidRDefault="00AD2E86">
      <w:pPr>
        <w:spacing w:before="100" w:after="10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>a)</w:t>
      </w:r>
      <w:r>
        <w:rPr>
          <w:rFonts w:ascii="Arial Narrow" w:eastAsia="Arial Narrow" w:hAnsi="Arial Narrow" w:cs="Arial Narrow"/>
          <w:b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responsabilizar-se pelos vícios e danos decorrentes do objeto, de acordo com os artigos 12, 13 e 17 a 27, do Código de Defesa do Consumidor (Lei no 8.078, de 1990);</w:t>
      </w:r>
    </w:p>
    <w:p w14:paraId="4B1414CE" w14:textId="77777777" w:rsidR="005611AC" w:rsidRDefault="00AD2E86">
      <w:p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ab/>
        <w:t>b)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substituir, reparar ou corrigir, às suas expensas, no prazo fixado neste Termo de Referência, </w:t>
      </w:r>
      <w:r>
        <w:rPr>
          <w:rFonts w:ascii="Arial Narrow" w:eastAsia="Arial Narrow" w:hAnsi="Arial Narrow" w:cs="Arial Narrow"/>
          <w:sz w:val="22"/>
          <w:szCs w:val="22"/>
        </w:rPr>
        <w:tab/>
        <w:t>o objeto com avarias ou defeitos;</w:t>
      </w:r>
    </w:p>
    <w:p w14:paraId="5C6EF5C8" w14:textId="77777777" w:rsidR="005611AC" w:rsidRDefault="00AD2E86">
      <w:p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ab/>
        <w:t>c)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comunicar à UFF, no prazo máximo de 24 (vinte e quatro) horas que antecede a data da </w:t>
      </w:r>
      <w:r>
        <w:rPr>
          <w:rFonts w:ascii="Arial Narrow" w:eastAsia="Arial Narrow" w:hAnsi="Arial Narrow" w:cs="Arial Narrow"/>
          <w:sz w:val="22"/>
          <w:szCs w:val="22"/>
        </w:rPr>
        <w:tab/>
        <w:t>entrega, os mo</w:t>
      </w:r>
      <w:bookmarkStart w:id="2" w:name="_GoBack"/>
      <w:bookmarkEnd w:id="2"/>
      <w:r>
        <w:rPr>
          <w:rFonts w:ascii="Arial Narrow" w:eastAsia="Arial Narrow" w:hAnsi="Arial Narrow" w:cs="Arial Narrow"/>
          <w:sz w:val="22"/>
          <w:szCs w:val="22"/>
        </w:rPr>
        <w:t>tivos que impossibilitem o cumprimento do prazo previsto, com a devida comprovação;</w:t>
      </w:r>
    </w:p>
    <w:p w14:paraId="27D7D66B" w14:textId="77777777" w:rsidR="005611AC" w:rsidRDefault="00AD2E86">
      <w:p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ab/>
        <w:t>d)</w:t>
      </w:r>
      <w:r>
        <w:rPr>
          <w:rFonts w:ascii="Arial Narrow" w:eastAsia="Arial Narrow" w:hAnsi="Arial Narrow" w:cs="Arial Narrow"/>
          <w:sz w:val="22"/>
          <w:szCs w:val="22"/>
        </w:rPr>
        <w:tab/>
        <w:t>responsabilizar-se por quaisquer danos ou prejuízos causados à UFF, em decorrência da entrega do material, incluindo-se danos causados a terceiros, a que título for;</w:t>
      </w:r>
    </w:p>
    <w:p w14:paraId="1E499BC4" w14:textId="77777777" w:rsidR="005611AC" w:rsidRDefault="00AD2E86">
      <w:p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ab/>
        <w:t>e)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manter, durante o período de contratação as condições de habilitação e qualificação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exigidas  na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licitação. </w:t>
      </w:r>
    </w:p>
    <w:p w14:paraId="08E98054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Caberá a UFF</w:t>
      </w:r>
    </w:p>
    <w:p w14:paraId="00ECCCFE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a)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solicitar a troca dos materiais que não atenderem às especificações do objeto deste Termo de </w:t>
      </w:r>
      <w:r>
        <w:rPr>
          <w:rFonts w:ascii="Arial Narrow" w:eastAsia="Arial Narrow" w:hAnsi="Arial Narrow" w:cs="Arial Narrow"/>
          <w:sz w:val="22"/>
          <w:szCs w:val="22"/>
        </w:rPr>
        <w:tab/>
        <w:t>Referência;</w:t>
      </w:r>
    </w:p>
    <w:p w14:paraId="1780E1C6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b)</w:t>
      </w:r>
      <w:r>
        <w:rPr>
          <w:rFonts w:ascii="Arial Narrow" w:eastAsia="Arial Narrow" w:hAnsi="Arial Narrow" w:cs="Arial Narrow"/>
          <w:sz w:val="22"/>
          <w:szCs w:val="22"/>
        </w:rPr>
        <w:tab/>
        <w:t>receber o objeto no prazo e condições estabelecidas no Edital e seus anexos;</w:t>
      </w:r>
    </w:p>
    <w:p w14:paraId="466236EE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c)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verificar minuciosamente, no prazo fixado, a conformidade dos bens recebidos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provisoriamente com as especificações constantes deste Termo de Referência e da proposta </w:t>
      </w:r>
      <w:r>
        <w:rPr>
          <w:rFonts w:ascii="Arial Narrow" w:eastAsia="Arial Narrow" w:hAnsi="Arial Narrow" w:cs="Arial Narrow"/>
          <w:sz w:val="22"/>
          <w:szCs w:val="22"/>
        </w:rPr>
        <w:tab/>
        <w:t>para fins de aceitação e recebimento definitivo;</w:t>
      </w:r>
    </w:p>
    <w:p w14:paraId="40E2312C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d)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prestar as informações e os esclarecimentos que venham a ser solicitados pelo licitante </w:t>
      </w:r>
      <w:r>
        <w:rPr>
          <w:rFonts w:ascii="Arial Narrow" w:eastAsia="Arial Narrow" w:hAnsi="Arial Narrow" w:cs="Arial Narrow"/>
          <w:sz w:val="22"/>
          <w:szCs w:val="22"/>
        </w:rPr>
        <w:tab/>
        <w:t>vencedor com relação ao objeto deste Termo de Referência;</w:t>
      </w:r>
    </w:p>
    <w:p w14:paraId="40854BF0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e)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comunicar ao licitante vencedor qualquer irregularidade constatada no fornecimento dos </w:t>
      </w:r>
      <w:r>
        <w:rPr>
          <w:rFonts w:ascii="Arial Narrow" w:eastAsia="Arial Narrow" w:hAnsi="Arial Narrow" w:cs="Arial Narrow"/>
          <w:sz w:val="22"/>
          <w:szCs w:val="22"/>
        </w:rPr>
        <w:tab/>
        <w:t>materiais e solicitar sua imediata interrupção se for o caso;</w:t>
      </w:r>
    </w:p>
    <w:p w14:paraId="54BEFFB1" w14:textId="77777777" w:rsidR="005611AC" w:rsidRDefault="00AD2E86">
      <w:pPr>
        <w:spacing w:before="100" w:after="100"/>
        <w:ind w:left="79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f)</w:t>
      </w:r>
      <w:r>
        <w:rPr>
          <w:rFonts w:ascii="Arial Narrow" w:eastAsia="Arial Narrow" w:hAnsi="Arial Narrow" w:cs="Arial Narrow"/>
          <w:sz w:val="22"/>
          <w:szCs w:val="22"/>
        </w:rPr>
        <w:tab/>
        <w:t>proporcionar todas as facilidades necessárias à entrega dos materiais;</w:t>
      </w:r>
    </w:p>
    <w:p w14:paraId="3E640A69" w14:textId="77777777" w:rsidR="005611AC" w:rsidRDefault="005611AC">
      <w:pPr>
        <w:spacing w:before="100" w:after="100"/>
        <w:ind w:left="79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EF02135" w14:textId="77777777" w:rsidR="005611AC" w:rsidRDefault="005611AC">
      <w:pPr>
        <w:spacing w:before="100" w:after="100"/>
        <w:ind w:left="79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D36B788" w14:textId="77777777" w:rsidR="005611AC" w:rsidRDefault="005611AC">
      <w:pPr>
        <w:spacing w:before="100" w:after="100"/>
        <w:ind w:left="79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72BCEF9" w14:textId="77777777" w:rsidR="005611AC" w:rsidRDefault="005611AC">
      <w:pPr>
        <w:spacing w:before="100" w:after="100"/>
        <w:ind w:left="79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6AFF5F5" w14:textId="77777777" w:rsidR="005611AC" w:rsidRDefault="005611AC">
      <w:pPr>
        <w:spacing w:before="100" w:after="100"/>
        <w:ind w:left="79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77B8721" w14:textId="77777777" w:rsidR="005611AC" w:rsidRDefault="00AD2E86">
      <w:pPr>
        <w:numPr>
          <w:ilvl w:val="0"/>
          <w:numId w:val="1"/>
        </w:numPr>
        <w:spacing w:before="100" w:after="100"/>
        <w:ind w:left="0" w:firstLine="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SANÇÕES</w:t>
      </w:r>
    </w:p>
    <w:p w14:paraId="68FBCFA2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Se ficar comprovada a existência de qualquer irregularidade ou ocorrer inadimplemento pelo qual possa ser responsabilizado o LICITANTE, este, resguardados os procedimentos legais pertinentes, sem prejuízo das demais sanções previstas na legislação vigente, poderá sofrer as seguintes sanções:</w:t>
      </w:r>
    </w:p>
    <w:p w14:paraId="1F59611B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a) advertência;</w:t>
      </w:r>
    </w:p>
    <w:p w14:paraId="42EF07D3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b) multa de 0,33% (zero vírgula trinta e três por cento), ao dia sobre a parcela que der causa em caso de atraso na execução do objeto, limitada a incidência a 30(trinta) dias;</w:t>
      </w:r>
    </w:p>
    <w:p w14:paraId="670BFA46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c) multa de 10% (dez por cento), sobre o valor da parcela que der causa, em caso de atraso na execução do objeto, por período superior ao previsto na alínea “b” ou de inexecução parcial da obrigação assumida;</w:t>
      </w:r>
    </w:p>
    <w:p w14:paraId="518D3A5A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d) multa de 20% (vinte por cento), calculada sobre o valor total da contratação, em caso de inexecução total da obrigação assumida; e</w:t>
      </w:r>
    </w:p>
    <w:p w14:paraId="32047041" w14:textId="77777777" w:rsidR="005611AC" w:rsidRDefault="00AD2E86">
      <w:pPr>
        <w:spacing w:before="100" w:after="100"/>
        <w:ind w:left="79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e) multa de 0,5% (zero vírgula cinco por cento) calculada sobre o valor total da contratação, quando for constatado o descumprimento de qualquer obrigação prevista neste Termo de Referência, ressalvadas aquelas obrigações para as quais tenham sido fixadas penalidades específicas.</w:t>
      </w:r>
    </w:p>
    <w:p w14:paraId="6F53341E" w14:textId="77777777" w:rsidR="005611AC" w:rsidRDefault="00AD2E86">
      <w:pPr>
        <w:numPr>
          <w:ilvl w:val="0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DISPOSIÇÕES GERAIS</w:t>
      </w:r>
    </w:p>
    <w:p w14:paraId="6603602D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As propostas deverão conter o preço unitário e total dos itens solicitados, o CNPJ, endereço, telefone, fax e o e-mail da licitante.</w:t>
      </w:r>
    </w:p>
    <w:p w14:paraId="2A8D932A" w14:textId="77777777" w:rsidR="005611AC" w:rsidRDefault="00AD2E86">
      <w:pPr>
        <w:numPr>
          <w:ilvl w:val="1"/>
          <w:numId w:val="1"/>
        </w:numPr>
        <w:spacing w:before="100" w:after="100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Será declarado vencedor a licitante que apresentar o menor preço por item, observadas as exigências contidas neste Termo de Referência.</w:t>
      </w:r>
    </w:p>
    <w:p w14:paraId="14536C8E" w14:textId="77777777" w:rsidR="005611AC" w:rsidRDefault="005611AC">
      <w:pPr>
        <w:spacing w:before="100" w:after="10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F784333" w14:textId="77777777" w:rsidR="005611AC" w:rsidRDefault="00AD2E86">
      <w:pPr>
        <w:numPr>
          <w:ilvl w:val="0"/>
          <w:numId w:val="1"/>
        </w:numPr>
        <w:spacing w:before="57" w:after="57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  EQUIPE DE PLANEJAMENTO DA CONTRATAÇÃO</w:t>
      </w:r>
    </w:p>
    <w:p w14:paraId="23B6DD89" w14:textId="77777777" w:rsidR="005611AC" w:rsidRDefault="005611AC">
      <w:pPr>
        <w:spacing w:before="57" w:after="57"/>
        <w:ind w:left="360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55" w:type="dxa"/>
        <w:tblLook w:val="0000" w:firstRow="0" w:lastRow="0" w:firstColumn="0" w:lastColumn="0" w:noHBand="0" w:noVBand="0"/>
      </w:tblPr>
      <w:tblGrid>
        <w:gridCol w:w="4704"/>
        <w:gridCol w:w="4451"/>
      </w:tblGrid>
      <w:tr w:rsidR="005611AC" w14:paraId="271AA385" w14:textId="77777777" w:rsidTr="00900007">
        <w:tc>
          <w:tcPr>
            <w:tcW w:w="4703" w:type="dxa"/>
            <w:shd w:val="clear" w:color="auto" w:fill="FFFFFF"/>
          </w:tcPr>
          <w:p w14:paraId="395D9AB9" w14:textId="77777777" w:rsidR="005611AC" w:rsidRDefault="00AD2E86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Representante Técnico</w:t>
            </w:r>
          </w:p>
          <w:p w14:paraId="57058FC2" w14:textId="77777777" w:rsidR="005611AC" w:rsidRDefault="005611AC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0B68FC8B" w14:textId="77777777" w:rsidR="005611AC" w:rsidRDefault="00AD2E86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-------------------------------------</w:t>
            </w:r>
          </w:p>
          <w:p w14:paraId="55AD05A9" w14:textId="77777777" w:rsidR="005611AC" w:rsidRDefault="00AD2E86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Douglas Nunes de Paula</w:t>
            </w:r>
          </w:p>
          <w:p w14:paraId="69BF01D4" w14:textId="77777777" w:rsidR="005611AC" w:rsidRDefault="00AD2E86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60114</w:t>
            </w:r>
          </w:p>
        </w:tc>
        <w:tc>
          <w:tcPr>
            <w:tcW w:w="4451" w:type="dxa"/>
            <w:shd w:val="clear" w:color="auto" w:fill="FFFFFF"/>
          </w:tcPr>
          <w:p w14:paraId="5FB60F42" w14:textId="77777777" w:rsidR="005611AC" w:rsidRDefault="00AD2E86" w:rsidP="00900007">
            <w:pPr>
              <w:tabs>
                <w:tab w:val="left" w:pos="709"/>
              </w:tabs>
              <w:ind w:right="-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Representante Administrativo</w:t>
            </w:r>
          </w:p>
          <w:p w14:paraId="667450BC" w14:textId="77777777" w:rsidR="005611AC" w:rsidRDefault="005611AC" w:rsidP="00900007">
            <w:pPr>
              <w:tabs>
                <w:tab w:val="left" w:pos="709"/>
              </w:tabs>
              <w:ind w:right="-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174A1C82" w14:textId="77777777" w:rsidR="005611AC" w:rsidRDefault="00AD2E86" w:rsidP="00900007">
            <w:pPr>
              <w:tabs>
                <w:tab w:val="left" w:pos="709"/>
              </w:tabs>
              <w:ind w:right="-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---------------------------------------</w:t>
            </w:r>
          </w:p>
          <w:p w14:paraId="11346366" w14:textId="77777777" w:rsidR="005611AC" w:rsidRDefault="00AD2E86" w:rsidP="00900007">
            <w:pPr>
              <w:tabs>
                <w:tab w:val="left" w:pos="709"/>
              </w:tabs>
              <w:ind w:right="-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PROAD</w:t>
            </w:r>
          </w:p>
          <w:p w14:paraId="21D5EE10" w14:textId="77777777" w:rsidR="005611AC" w:rsidRDefault="005611AC" w:rsidP="00900007">
            <w:pPr>
              <w:tabs>
                <w:tab w:val="left" w:pos="709"/>
              </w:tabs>
              <w:ind w:right="-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611AC" w14:paraId="4B2BD02D" w14:textId="77777777" w:rsidTr="00900007">
        <w:trPr>
          <w:trHeight w:val="1100"/>
        </w:trPr>
        <w:tc>
          <w:tcPr>
            <w:tcW w:w="9154" w:type="dxa"/>
            <w:gridSpan w:val="2"/>
            <w:shd w:val="clear" w:color="auto" w:fill="FFFFFF"/>
          </w:tcPr>
          <w:p w14:paraId="43FFF8A3" w14:textId="77777777" w:rsidR="005611AC" w:rsidRDefault="00AD2E86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Demandante </w:t>
            </w:r>
          </w:p>
          <w:p w14:paraId="4DF25E74" w14:textId="77777777" w:rsidR="005611AC" w:rsidRDefault="005611AC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661E6ECA" w14:textId="77777777" w:rsidR="005611AC" w:rsidRDefault="00AD2E86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------------------------------------------------------------------</w:t>
            </w:r>
          </w:p>
          <w:p w14:paraId="388D35BE" w14:textId="77777777" w:rsidR="005611AC" w:rsidRDefault="00AD2E86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Gerência Governança Segurança da Informação</w:t>
            </w:r>
          </w:p>
          <w:p w14:paraId="1C538541" w14:textId="77777777" w:rsidR="005611AC" w:rsidRDefault="005611AC" w:rsidP="00900007">
            <w:pPr>
              <w:tabs>
                <w:tab w:val="left" w:pos="709"/>
              </w:tabs>
              <w:ind w:left="709" w:right="-1" w:hanging="709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ADE25B6" w14:textId="23F46E35" w:rsidR="005611AC" w:rsidRDefault="00900007">
      <w:pPr>
        <w:spacing w:before="120" w:after="240"/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br w:type="textWrapping" w:clear="all"/>
      </w:r>
      <w:r w:rsidR="00AD2E8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Aprovo: </w:t>
      </w:r>
      <w:r w:rsidR="00AD2E86">
        <w:rPr>
          <w:rFonts w:ascii="Arial Narrow" w:eastAsia="Arial Narrow" w:hAnsi="Arial Narrow" w:cs="Arial Narrow"/>
          <w:color w:val="000000"/>
          <w:sz w:val="22"/>
          <w:szCs w:val="22"/>
        </w:rPr>
        <w:t>Encaminha-se à PROAD</w:t>
      </w:r>
      <w:r w:rsidR="00AD2E86"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</w:t>
      </w:r>
      <w:r w:rsidR="00AD2E8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para abertura de processo administrativo e início de procedimento licitatório, segundo o art. 38 da Lei n° 8.666, de 21 de junho de 1993. </w:t>
      </w:r>
    </w:p>
    <w:p w14:paraId="6759AF60" w14:textId="7EB5EA8F" w:rsidR="005611AC" w:rsidRDefault="00AD2E86">
      <w:pPr>
        <w:spacing w:before="120" w:after="240"/>
        <w:jc w:val="center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   Niterói, </w:t>
      </w:r>
      <w:r w:rsidR="00900007">
        <w:rPr>
          <w:rFonts w:ascii="Arial Narrow" w:eastAsia="Arial Narrow" w:hAnsi="Arial Narrow" w:cs="Arial Narrow"/>
          <w:color w:val="000000"/>
          <w:sz w:val="22"/>
          <w:szCs w:val="22"/>
        </w:rPr>
        <w:t>11</w:t>
      </w:r>
      <w:r w:rsidR="00B3694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 novembro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de  2019</w:t>
      </w:r>
      <w:proofErr w:type="gramEnd"/>
    </w:p>
    <w:p w14:paraId="76A9E43E" w14:textId="77777777" w:rsidR="005611AC" w:rsidRDefault="00AD2E86">
      <w:pPr>
        <w:spacing w:before="120" w:after="240"/>
        <w:jc w:val="center"/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            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__________________________________</w:t>
      </w:r>
    </w:p>
    <w:p w14:paraId="6EA60DB7" w14:textId="77777777" w:rsidR="005611AC" w:rsidRDefault="00AD2E86">
      <w:pPr>
        <w:tabs>
          <w:tab w:val="left" w:pos="709"/>
        </w:tabs>
        <w:spacing w:before="120"/>
        <w:ind w:left="709" w:right="-1" w:hanging="709"/>
        <w:jc w:val="center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Hélcio de Almeida Rocha –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Matr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302823</w:t>
      </w:r>
    </w:p>
    <w:p w14:paraId="73691499" w14:textId="77777777" w:rsidR="005611AC" w:rsidRDefault="00AD2E86">
      <w:pPr>
        <w:spacing w:before="120" w:after="240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Superintendente da STI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      </w:t>
      </w:r>
    </w:p>
    <w:sectPr w:rsidR="005611AC" w:rsidSect="00056C9C">
      <w:headerReference w:type="default" r:id="rId10"/>
      <w:footerReference w:type="default" r:id="rId11"/>
      <w:pgSz w:w="11906" w:h="16838"/>
      <w:pgMar w:top="851" w:right="992" w:bottom="851" w:left="1276" w:header="720" w:footer="720" w:gutter="0"/>
      <w:pgNumType w:start="12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37B4F" w14:textId="77777777" w:rsidR="007E1EEE" w:rsidRDefault="007E1EEE">
      <w:r>
        <w:separator/>
      </w:r>
    </w:p>
  </w:endnote>
  <w:endnote w:type="continuationSeparator" w:id="0">
    <w:p w14:paraId="2A695092" w14:textId="77777777" w:rsidR="007E1EEE" w:rsidRDefault="007E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95EF" w14:textId="0B605FA3" w:rsidR="005611AC" w:rsidRDefault="00AD2E86">
    <w:pPr>
      <w:tabs>
        <w:tab w:val="left" w:pos="3119"/>
      </w:tabs>
      <w:ind w:right="360"/>
      <w:jc w:val="right"/>
    </w:pPr>
    <w:r>
      <w:rPr>
        <w:rFonts w:ascii="Verdana" w:eastAsia="Verdana" w:hAnsi="Verdana" w:cs="Verdana"/>
        <w:color w:val="000000"/>
        <w:sz w:val="16"/>
        <w:szCs w:val="16"/>
      </w:rPr>
      <w:t xml:space="preserve">Termo de Referência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028E" w14:textId="77777777" w:rsidR="007E1EEE" w:rsidRDefault="007E1EEE">
      <w:r>
        <w:separator/>
      </w:r>
    </w:p>
  </w:footnote>
  <w:footnote w:type="continuationSeparator" w:id="0">
    <w:p w14:paraId="0C6E972E" w14:textId="77777777" w:rsidR="007E1EEE" w:rsidRDefault="007E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9FB9" w14:textId="77777777" w:rsidR="00056C9C" w:rsidRDefault="00056C9C" w:rsidP="00056C9C">
    <w:pPr>
      <w:pStyle w:val="Cabealho"/>
    </w:pPr>
    <w:r>
      <w:t xml:space="preserve">                                                                                </w:t>
    </w:r>
  </w:p>
  <w:sdt>
    <w:sdtPr>
      <w:id w:val="-456562284"/>
      <w:docPartObj>
        <w:docPartGallery w:val="Page Numbers (Top of Page)"/>
        <w:docPartUnique/>
      </w:docPartObj>
    </w:sdtPr>
    <w:sdtEndPr/>
    <w:sdtContent>
      <w:p w14:paraId="3F276136" w14:textId="77777777" w:rsidR="00056C9C" w:rsidRDefault="00056C9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4C928C2" w14:textId="77777777" w:rsidR="00056C9C" w:rsidRPr="003F0E1F" w:rsidRDefault="00056C9C" w:rsidP="00056C9C">
        <w:pPr>
          <w:pStyle w:val="Cabealho"/>
          <w:tabs>
            <w:tab w:val="left" w:pos="6284"/>
          </w:tabs>
          <w:spacing w:line="276" w:lineRule="auto"/>
          <w:ind w:left="709" w:hanging="709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F0E1F">
          <w:rPr>
            <w:rFonts w:asciiTheme="minorHAnsi" w:eastAsia="Arial Narrow" w:hAnsiTheme="minorHAnsi" w:cstheme="minorHAnsi"/>
            <w:color w:val="000000"/>
            <w:sz w:val="22"/>
            <w:szCs w:val="22"/>
          </w:rPr>
          <w:t>Processo n.º 23069.042202/2019-58</w:t>
        </w:r>
      </w:p>
      <w:p w14:paraId="142D9A02" w14:textId="77777777" w:rsidR="00056C9C" w:rsidRDefault="007E1EEE">
        <w:pPr>
          <w:pStyle w:val="Cabealho"/>
          <w:jc w:val="right"/>
        </w:pPr>
      </w:p>
    </w:sdtContent>
  </w:sdt>
  <w:p w14:paraId="3479F80C" w14:textId="77777777" w:rsidR="005611AC" w:rsidRDefault="005611AC">
    <w:pPr>
      <w:tabs>
        <w:tab w:val="center" w:pos="4419"/>
        <w:tab w:val="right" w:pos="8838"/>
      </w:tabs>
      <w:rPr>
        <w:rFonts w:ascii="Arial Narrow" w:eastAsia="Arial Narrow" w:hAnsi="Arial Narrow" w:cs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588"/>
    <w:multiLevelType w:val="multilevel"/>
    <w:tmpl w:val="1A42A88C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/>
        <w:b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eastAsia="Arial Narrow" w:cs="Arial Narrow"/>
        <w:b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eastAsia="Arial Narrow" w:cs="Arial Narrow"/>
        <w:b w:val="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sz w:val="20"/>
        <w:vertAlign w:val="baseline"/>
      </w:rPr>
    </w:lvl>
  </w:abstractNum>
  <w:abstractNum w:abstractNumId="1" w15:restartNumberingAfterBreak="0">
    <w:nsid w:val="43B123DC"/>
    <w:multiLevelType w:val="multilevel"/>
    <w:tmpl w:val="AB161A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6D076C"/>
    <w:multiLevelType w:val="hybridMultilevel"/>
    <w:tmpl w:val="B50055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AC"/>
    <w:rsid w:val="00056C9C"/>
    <w:rsid w:val="0025649C"/>
    <w:rsid w:val="005611AC"/>
    <w:rsid w:val="005D08FD"/>
    <w:rsid w:val="007E1EEE"/>
    <w:rsid w:val="00900007"/>
    <w:rsid w:val="00AD2E86"/>
    <w:rsid w:val="00B3694D"/>
    <w:rsid w:val="00E01066"/>
    <w:rsid w:val="00E0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FDB6C"/>
  <w15:docId w15:val="{C429435F-FABB-4145-9EEA-6104D9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Narrow" w:cs="Arial Narrow"/>
      <w:b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eastAsia="Arial Narrow" w:cs="Arial Narrow"/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Arial Narrow" w:cs="Arial Narrow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eastAsia="Arial Narrow" w:cs="Arial Narrow"/>
      <w:b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Arial Narrow" w:cs="Arial Narrow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rFonts w:eastAsia="Arial Narrow" w:cs="Arial Narrow"/>
      <w:b w:val="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3694D"/>
    <w:pPr>
      <w:suppressAutoHyphens/>
      <w:ind w:left="720"/>
      <w:contextualSpacing/>
    </w:pPr>
    <w:rPr>
      <w:color w:val="auto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056C9C"/>
    <w:rPr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056C9C"/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00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C4E4A9FBD804AA10AE4696A64243D" ma:contentTypeVersion="9" ma:contentTypeDescription="Create a new document." ma:contentTypeScope="" ma:versionID="e1b11bfb7096f4b53bf2645123f3a184">
  <xsd:schema xmlns:xsd="http://www.w3.org/2001/XMLSchema" xmlns:xs="http://www.w3.org/2001/XMLSchema" xmlns:p="http://schemas.microsoft.com/office/2006/metadata/properties" xmlns:ns3="8f9190d9-c943-4b6e-aa66-7586155c2e0a" xmlns:ns4="95932391-5daf-4e15-ba64-1c6867e55231" targetNamespace="http://schemas.microsoft.com/office/2006/metadata/properties" ma:root="true" ma:fieldsID="9193bc9576a41161497b172db68bada5" ns3:_="" ns4:_="">
    <xsd:import namespace="8f9190d9-c943-4b6e-aa66-7586155c2e0a"/>
    <xsd:import namespace="95932391-5daf-4e15-ba64-1c6867e552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190d9-c943-4b6e-aa66-7586155c2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32391-5daf-4e15-ba64-1c6867e55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99CE9-CFFA-48DF-B050-B0133AEC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24F67-0DCD-4B7A-99CC-018FAEFD0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6AA07-A50A-4B60-873C-569B379D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190d9-c943-4b6e-aa66-7586155c2e0a"/>
    <ds:schemaRef ds:uri="95932391-5daf-4e15-ba64-1c6867e55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2116</Words>
  <Characters>11428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2019-11-11T20:49:00Z</cp:lastPrinted>
  <dcterms:created xsi:type="dcterms:W3CDTF">2019-11-07T23:14:00Z</dcterms:created>
  <dcterms:modified xsi:type="dcterms:W3CDTF">2019-11-11T20:49:00Z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0x010100492C4E4A9FBD804AA10AE4696A64243D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