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7F92" w14:textId="77777777" w:rsidR="00317E71" w:rsidRPr="006D546C" w:rsidRDefault="00317E71" w:rsidP="005B345F">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1A988A7B">
            <wp:simplePos x="0" y="0"/>
            <wp:positionH relativeFrom="margin">
              <wp:align>center</wp:align>
            </wp:positionH>
            <wp:positionV relativeFrom="paragraph">
              <wp:posOffset>-244475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2E75A89B" w14:textId="77777777" w:rsidR="006E4496" w:rsidRPr="006D546C" w:rsidRDefault="00317E71" w:rsidP="005B345F">
      <w:pPr>
        <w:tabs>
          <w:tab w:val="left" w:pos="8880"/>
        </w:tabs>
        <w:spacing w:line="276" w:lineRule="auto"/>
        <w:rPr>
          <w:rFonts w:asciiTheme="minorHAnsi" w:hAnsiTheme="minorHAnsi" w:cstheme="minorHAnsi"/>
          <w:sz w:val="22"/>
          <w:szCs w:val="22"/>
        </w:rPr>
      </w:pPr>
      <w:r w:rsidRPr="006D546C">
        <w:rPr>
          <w:rFonts w:asciiTheme="minorHAnsi" w:hAnsiTheme="minorHAnsi" w:cstheme="minorHAnsi"/>
          <w:sz w:val="22"/>
          <w:szCs w:val="22"/>
        </w:rPr>
        <w:tab/>
      </w:r>
    </w:p>
    <w:p w14:paraId="72D20E5C" w14:textId="77777777" w:rsidR="006E4496" w:rsidRPr="006D546C" w:rsidRDefault="006E4496" w:rsidP="00BD58B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BD58B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226FC5E6" w:rsidR="006E4496" w:rsidRPr="006D546C" w:rsidRDefault="00522544" w:rsidP="00BD58B4">
      <w:pPr>
        <w:jc w:val="center"/>
        <w:rPr>
          <w:rFonts w:asciiTheme="minorHAnsi" w:hAnsiTheme="minorHAnsi" w:cstheme="minorHAnsi"/>
          <w:b/>
          <w:sz w:val="22"/>
          <w:szCs w:val="22"/>
        </w:rPr>
      </w:pPr>
      <w:r>
        <w:rPr>
          <w:rFonts w:asciiTheme="minorHAnsi" w:hAnsiTheme="minorHAnsi" w:cstheme="minorHAnsi"/>
          <w:b/>
          <w:sz w:val="22"/>
          <w:szCs w:val="22"/>
        </w:rPr>
        <w:t>SUPERINTENDENCIA DE TECNOLOGIA DA INFORMAÇÃO</w:t>
      </w:r>
    </w:p>
    <w:p w14:paraId="5D4E6BBB" w14:textId="2487BA21" w:rsidR="00BD58B4" w:rsidRDefault="00BD58B4" w:rsidP="00BD58B4">
      <w:pPr>
        <w:spacing w:after="120" w:line="276" w:lineRule="auto"/>
        <w:ind w:right="-15"/>
        <w:rPr>
          <w:rFonts w:asciiTheme="minorHAnsi" w:hAnsiTheme="minorHAnsi" w:cstheme="minorHAnsi"/>
          <w:b/>
          <w:bCs/>
          <w:color w:val="000000"/>
          <w:sz w:val="22"/>
          <w:szCs w:val="22"/>
        </w:rPr>
      </w:pPr>
    </w:p>
    <w:p w14:paraId="05FC4BA0" w14:textId="67198F2D" w:rsidR="00BD58B4" w:rsidRDefault="00BD58B4" w:rsidP="00BD58B4">
      <w:pPr>
        <w:spacing w:after="120" w:line="276" w:lineRule="auto"/>
        <w:ind w:right="-15"/>
        <w:jc w:val="center"/>
        <w:rPr>
          <w:rFonts w:asciiTheme="minorHAnsi" w:hAnsiTheme="minorHAnsi" w:cstheme="minorHAnsi"/>
          <w:b/>
          <w:bCs/>
          <w:color w:val="000000"/>
          <w:sz w:val="22"/>
          <w:szCs w:val="22"/>
          <w:u w:val="single"/>
        </w:rPr>
      </w:pPr>
      <w:r w:rsidRPr="00BD58B4">
        <w:rPr>
          <w:rFonts w:asciiTheme="minorHAnsi" w:hAnsiTheme="minorHAnsi" w:cstheme="minorHAnsi"/>
          <w:b/>
          <w:bCs/>
          <w:color w:val="000000"/>
          <w:sz w:val="22"/>
          <w:szCs w:val="22"/>
          <w:u w:val="single"/>
        </w:rPr>
        <w:t>ESTUDOS TÉCNICOS PRELIMINARES</w:t>
      </w:r>
    </w:p>
    <w:p w14:paraId="5A9697C6" w14:textId="5E496C62" w:rsidR="00BD58B4" w:rsidRDefault="00BD58B4" w:rsidP="00BD58B4">
      <w:pPr>
        <w:spacing w:after="120" w:line="276" w:lineRule="auto"/>
        <w:ind w:right="-15"/>
        <w:rPr>
          <w:rFonts w:asciiTheme="minorHAnsi" w:hAnsiTheme="minorHAnsi" w:cstheme="minorHAnsi"/>
          <w:b/>
          <w:bCs/>
          <w:color w:val="000000"/>
          <w:sz w:val="22"/>
          <w:szCs w:val="22"/>
          <w:u w:val="single"/>
        </w:rPr>
      </w:pPr>
    </w:p>
    <w:p w14:paraId="005DB13E" w14:textId="77777777" w:rsidR="00BD58B4" w:rsidRPr="00BD58B4" w:rsidRDefault="00BD58B4" w:rsidP="00BD58B4">
      <w:pPr>
        <w:pStyle w:val="PargrafodaLista"/>
        <w:numPr>
          <w:ilvl w:val="0"/>
          <w:numId w:val="30"/>
        </w:numPr>
        <w:spacing w:after="120" w:line="276" w:lineRule="auto"/>
        <w:ind w:right="-15"/>
        <w:rPr>
          <w:rFonts w:asciiTheme="minorHAnsi" w:hAnsiTheme="minorHAnsi" w:cstheme="minorHAnsi"/>
          <w:b/>
          <w:bCs/>
          <w:color w:val="000000"/>
          <w:sz w:val="22"/>
          <w:szCs w:val="22"/>
          <w:u w:val="single"/>
        </w:rPr>
      </w:pPr>
      <w:r w:rsidRPr="00BD58B4">
        <w:rPr>
          <w:rFonts w:asciiTheme="minorHAnsi" w:hAnsiTheme="minorHAnsi" w:cstheme="minorHAnsi"/>
          <w:b/>
          <w:bCs/>
          <w:sz w:val="22"/>
          <w:szCs w:val="22"/>
        </w:rPr>
        <w:t>INTRODUÇÃO</w:t>
      </w:r>
    </w:p>
    <w:p w14:paraId="41CFC331" w14:textId="146DFF01" w:rsidR="00BD58B4" w:rsidRPr="00A40924" w:rsidRDefault="00BD58B4" w:rsidP="00BD58B4">
      <w:pPr>
        <w:spacing w:after="120" w:line="276" w:lineRule="auto"/>
        <w:ind w:left="360" w:right="-15" w:firstLine="348"/>
        <w:jc w:val="both"/>
        <w:rPr>
          <w:rFonts w:asciiTheme="minorHAnsi" w:hAnsiTheme="minorHAnsi" w:cstheme="minorHAnsi"/>
          <w:sz w:val="22"/>
          <w:szCs w:val="22"/>
        </w:rPr>
      </w:pPr>
      <w:r w:rsidRPr="00A40924">
        <w:rPr>
          <w:rFonts w:asciiTheme="minorHAnsi" w:hAnsiTheme="minorHAnsi" w:cstheme="minorHAnsi"/>
          <w:sz w:val="22"/>
          <w:szCs w:val="22"/>
        </w:rPr>
        <w:t>Trata-se de realização dos Estudos Preliminares para levantamento de elementos e análise da viabilidade da contratação de empresas p</w:t>
      </w:r>
      <w:bookmarkStart w:id="0" w:name="_GoBack"/>
      <w:bookmarkEnd w:id="0"/>
      <w:r w:rsidRPr="00A40924">
        <w:rPr>
          <w:rFonts w:asciiTheme="minorHAnsi" w:hAnsiTheme="minorHAnsi" w:cstheme="minorHAnsi"/>
          <w:sz w:val="22"/>
          <w:szCs w:val="22"/>
        </w:rPr>
        <w:t xml:space="preserve">ara fornecimento de </w:t>
      </w:r>
      <w:r w:rsidR="00942975">
        <w:rPr>
          <w:rFonts w:asciiTheme="minorHAnsi" w:hAnsiTheme="minorHAnsi" w:cstheme="minorHAnsi"/>
          <w:b/>
          <w:bCs/>
          <w:sz w:val="22"/>
          <w:szCs w:val="22"/>
        </w:rPr>
        <w:t>Servidores tipo Torre e Racks</w:t>
      </w:r>
      <w:r w:rsidRPr="00A40924">
        <w:rPr>
          <w:rFonts w:asciiTheme="minorHAnsi" w:hAnsiTheme="minorHAnsi" w:cstheme="minorHAnsi"/>
          <w:sz w:val="22"/>
          <w:szCs w:val="22"/>
        </w:rPr>
        <w:t>.</w:t>
      </w:r>
    </w:p>
    <w:p w14:paraId="0599F4F9" w14:textId="3B5A21B1" w:rsidR="00BD58B4" w:rsidRPr="00A40924" w:rsidRDefault="00BD58B4" w:rsidP="00BD58B4">
      <w:pPr>
        <w:pStyle w:val="PargrafodaLista"/>
        <w:numPr>
          <w:ilvl w:val="1"/>
          <w:numId w:val="30"/>
        </w:numPr>
        <w:spacing w:after="120" w:line="276" w:lineRule="auto"/>
        <w:ind w:right="-15"/>
        <w:jc w:val="both"/>
        <w:rPr>
          <w:rFonts w:asciiTheme="minorHAnsi" w:hAnsiTheme="minorHAnsi" w:cstheme="minorHAnsi"/>
          <w:sz w:val="22"/>
          <w:szCs w:val="22"/>
          <w:u w:val="single"/>
        </w:rPr>
      </w:pPr>
      <w:r w:rsidRPr="00A40924">
        <w:rPr>
          <w:rFonts w:asciiTheme="minorHAnsi" w:hAnsiTheme="minorHAnsi" w:cstheme="minorHAnsi"/>
          <w:sz w:val="22"/>
          <w:szCs w:val="22"/>
          <w:u w:val="single"/>
        </w:rPr>
        <w:t>Normativos que disciplinam a contratação:</w:t>
      </w:r>
    </w:p>
    <w:p w14:paraId="198F567C" w14:textId="0B807EC6" w:rsidR="00BD58B4" w:rsidRPr="00A40924" w:rsidRDefault="00BD58B4" w:rsidP="00445FAA">
      <w:pPr>
        <w:pStyle w:val="PargrafodaLista"/>
        <w:numPr>
          <w:ilvl w:val="2"/>
          <w:numId w:val="30"/>
        </w:numPr>
        <w:spacing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Lei nº 8.666, de 21 de junho de 1993, com suas alterações - Regulamenta o artigo 37, inciso XXI, da Constituição Federal, institui normas para licitações e contratos da Administração Pública e dá outras providências;</w:t>
      </w:r>
    </w:p>
    <w:p w14:paraId="0BCB5B0C" w14:textId="6899BDF8" w:rsidR="00BD58B4" w:rsidRPr="00A40924" w:rsidRDefault="00BD58B4" w:rsidP="00445FAA">
      <w:pPr>
        <w:pStyle w:val="PargrafodaLista"/>
        <w:numPr>
          <w:ilvl w:val="2"/>
          <w:numId w:val="30"/>
        </w:numPr>
        <w:spacing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Lei nº 10.520, de 7 de julho de 2002 - Institui, no âmbito da União, Estados, Distrito Federal e Municípios, nos termos do art. 37, inciso XXI, da Constituição Federal, modalidade de licitação denominada pregão, para aquisição de bens e serviços comuns, e dá outras providências;</w:t>
      </w:r>
    </w:p>
    <w:p w14:paraId="6D19C907" w14:textId="2ABD55DE" w:rsidR="00BD58B4" w:rsidRPr="00A40924" w:rsidRDefault="00BD58B4" w:rsidP="00445FAA">
      <w:pPr>
        <w:pStyle w:val="PargrafodaLista"/>
        <w:numPr>
          <w:ilvl w:val="2"/>
          <w:numId w:val="30"/>
        </w:numPr>
        <w:spacing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Lei Complementar nº 123, de 14 de dezembro de 2006, alterada pela Lei Complementar nº 147, de 7 de agosto de 2014 e pela Lei Complementar nº 155/2016 - Institui o Estatuto Nacional da Microempresa e da Empresa de Pequeno Porte; altera dispositivos das Leis no 8.212 e 8.213, ambas de 24 de julho de 1991, da Consolidação das Leis do Trabalho - CLT, aprovada pelo Decreto-Lei no 5.452, de 1o de maio de 1943, da Lei no 10.189, de 14 de fevereiro de 2001, da Lei Complementar no63, de 11 de janeiro de 1990; e revoga as Leis no 9.317, de 5 de dezembro de 1996, e 9.841, de 5 de outubro de 1999.</w:t>
      </w:r>
    </w:p>
    <w:p w14:paraId="35D70916" w14:textId="139479A4" w:rsidR="00BD58B4" w:rsidRPr="00A40924" w:rsidRDefault="00BD58B4" w:rsidP="00445FAA">
      <w:pPr>
        <w:pStyle w:val="PargrafodaLista"/>
        <w:numPr>
          <w:ilvl w:val="2"/>
          <w:numId w:val="30"/>
        </w:numPr>
        <w:spacing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Decreto nº 7.746/2012, da Casa Civil da Presidência de República, que Regulamenta o art. 3º da Lei nº 8.666, de 21 de junho de 1993, para estabelecer critérios e práticas para a promoção do desenvolvimento nacional sustentável nas contratações realizadas pela administração pública federal direta, autárquica e fundacional e pelas empresas estatais dependentes, e institui a Comissão Interministerial de Sustentabilidade na Administração Pública - CISAP.</w:t>
      </w:r>
    </w:p>
    <w:p w14:paraId="65161204" w14:textId="008CC77C" w:rsidR="00445FAA" w:rsidRPr="00A40924" w:rsidRDefault="00445FAA" w:rsidP="00445FAA">
      <w:pPr>
        <w:pStyle w:val="NormalWeb"/>
        <w:numPr>
          <w:ilvl w:val="2"/>
          <w:numId w:val="30"/>
        </w:numPr>
        <w:spacing w:after="0"/>
        <w:jc w:val="both"/>
        <w:rPr>
          <w:rFonts w:asciiTheme="minorHAnsi" w:hAnsiTheme="minorHAnsi" w:cstheme="minorHAnsi"/>
          <w:sz w:val="22"/>
          <w:szCs w:val="22"/>
        </w:rPr>
      </w:pPr>
      <w:r w:rsidRPr="00A40924">
        <w:rPr>
          <w:rFonts w:asciiTheme="minorHAnsi" w:hAnsiTheme="minorHAnsi" w:cstheme="minorHAnsi"/>
          <w:sz w:val="22"/>
          <w:szCs w:val="22"/>
        </w:rPr>
        <w:t xml:space="preserve">Decreto nº 10.024/2019, da Casa Civil da Presidência da República, que </w:t>
      </w:r>
      <w:r w:rsidRPr="00A40924">
        <w:rPr>
          <w:rFonts w:asciiTheme="minorHAnsi" w:hAnsiTheme="minorHAnsi" w:cstheme="minorHAnsi"/>
          <w:sz w:val="22"/>
          <w:szCs w:val="22"/>
        </w:rPr>
        <w:br/>
        <w:t>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14:paraId="33CD867C" w14:textId="15E5894F" w:rsidR="00EC16D9" w:rsidRPr="00A40924" w:rsidRDefault="00EC16D9" w:rsidP="00EC16D9">
      <w:pPr>
        <w:pStyle w:val="NormalWeb"/>
        <w:numPr>
          <w:ilvl w:val="2"/>
          <w:numId w:val="30"/>
        </w:numPr>
        <w:jc w:val="both"/>
        <w:rPr>
          <w:rFonts w:asciiTheme="minorHAnsi" w:hAnsiTheme="minorHAnsi" w:cstheme="minorHAnsi"/>
          <w:sz w:val="22"/>
          <w:szCs w:val="22"/>
        </w:rPr>
      </w:pPr>
      <w:r w:rsidRPr="00A40924">
        <w:rPr>
          <w:rFonts w:asciiTheme="minorHAnsi" w:hAnsiTheme="minorHAnsi" w:cstheme="minorHAnsi"/>
          <w:sz w:val="22"/>
          <w:szCs w:val="22"/>
        </w:rPr>
        <w:t xml:space="preserve">Decreto nº 9.488/2018, de 30 de agosto de 2018, que </w:t>
      </w:r>
      <w:r w:rsidRPr="00A40924">
        <w:rPr>
          <w:rFonts w:asciiTheme="minorHAnsi" w:hAnsiTheme="minorHAnsi" w:cstheme="minorHAnsi"/>
          <w:sz w:val="22"/>
          <w:szCs w:val="22"/>
        </w:rPr>
        <w:br/>
        <w:t>Altera o Decreto nº 7.892, de 23 de janeiro de 2013, que regulamenta o Sistema de Registro de Preços previsto no art. 15 da Lei nº 8.666, de 21 de junho de 1993, e o Decreto nº 7.579, de 11 de outubro de 2011, que dispõe sobre o Sistema de Administração dos Recursos de Tecnologia da Informação - SISP, do Poder Executivo federal.</w:t>
      </w:r>
    </w:p>
    <w:p w14:paraId="420B3BFB" w14:textId="49FD7C21" w:rsidR="00BD58B4" w:rsidRPr="00A40924" w:rsidRDefault="00BD58B4" w:rsidP="00445FAA">
      <w:pPr>
        <w:pStyle w:val="NormalWeb"/>
        <w:numPr>
          <w:ilvl w:val="2"/>
          <w:numId w:val="30"/>
        </w:numPr>
        <w:spacing w:after="0"/>
        <w:jc w:val="both"/>
        <w:rPr>
          <w:rFonts w:asciiTheme="minorHAnsi" w:hAnsiTheme="minorHAnsi" w:cstheme="minorHAnsi"/>
          <w:sz w:val="22"/>
          <w:szCs w:val="22"/>
        </w:rPr>
      </w:pPr>
      <w:r w:rsidRPr="00A40924">
        <w:rPr>
          <w:rFonts w:asciiTheme="minorHAnsi" w:hAnsiTheme="minorHAnsi" w:cstheme="minorHAnsi"/>
          <w:sz w:val="22"/>
          <w:szCs w:val="22"/>
        </w:rPr>
        <w:t xml:space="preserve">Instrução Normativa nº 02/SEGES/MPOG, de 6 de dezembro de 2016, que dispõe sobre a observância da ordem cronológica de pagamento das obrigações relativas ao fornecimento de </w:t>
      </w:r>
      <w:r w:rsidRPr="00A40924">
        <w:rPr>
          <w:rFonts w:asciiTheme="minorHAnsi" w:hAnsiTheme="minorHAnsi" w:cstheme="minorHAnsi"/>
          <w:sz w:val="22"/>
          <w:szCs w:val="22"/>
        </w:rPr>
        <w:lastRenderedPageBreak/>
        <w:t>bens, locações, realização de obras e prestação de serviços, no âmbito do Sistema de Serviços Gerais - SISG.4. da natureza continuada dos serviços.</w:t>
      </w:r>
    </w:p>
    <w:p w14:paraId="3C9566C5" w14:textId="129E2B6B" w:rsidR="00445FAA" w:rsidRPr="00A40924" w:rsidRDefault="00445FAA" w:rsidP="00445FAA">
      <w:pPr>
        <w:pStyle w:val="PargrafodaLista"/>
        <w:numPr>
          <w:ilvl w:val="2"/>
          <w:numId w:val="30"/>
        </w:numPr>
        <w:spacing w:line="276" w:lineRule="auto"/>
        <w:ind w:right="-15"/>
        <w:jc w:val="both"/>
        <w:rPr>
          <w:rStyle w:val="Forte"/>
          <w:rFonts w:asciiTheme="minorHAnsi" w:hAnsiTheme="minorHAnsi" w:cstheme="minorHAnsi"/>
          <w:b w:val="0"/>
          <w:bCs w:val="0"/>
          <w:sz w:val="22"/>
          <w:szCs w:val="22"/>
        </w:rPr>
      </w:pPr>
      <w:r w:rsidRPr="00A40924">
        <w:rPr>
          <w:rFonts w:asciiTheme="minorHAnsi" w:hAnsiTheme="minorHAnsi" w:cstheme="minorHAnsi"/>
          <w:sz w:val="22"/>
          <w:szCs w:val="22"/>
        </w:rPr>
        <w:t>Instrução Normativa nº 03/SEGES/MPOG, de 26 de abril de 2018, que</w:t>
      </w:r>
      <w:r w:rsidR="00942975">
        <w:rPr>
          <w:rFonts w:asciiTheme="minorHAnsi" w:hAnsiTheme="minorHAnsi" w:cstheme="minorHAnsi"/>
          <w:sz w:val="22"/>
          <w:szCs w:val="22"/>
        </w:rPr>
        <w:t xml:space="preserve"> e</w:t>
      </w:r>
      <w:r w:rsidRPr="00A40924">
        <w:rPr>
          <w:rStyle w:val="Forte"/>
          <w:rFonts w:asciiTheme="minorHAnsi" w:hAnsiTheme="minorHAnsi" w:cstheme="minorHAnsi"/>
          <w:b w:val="0"/>
          <w:bCs w:val="0"/>
          <w:sz w:val="22"/>
          <w:szCs w:val="22"/>
          <w:shd w:val="clear" w:color="auto" w:fill="FFFFFF"/>
        </w:rPr>
        <w:t xml:space="preserve">stabelece regras de funcionamento do Sistema de Cadastramento Unificado de Fornecedores – </w:t>
      </w:r>
      <w:proofErr w:type="spellStart"/>
      <w:r w:rsidRPr="00A40924">
        <w:rPr>
          <w:rStyle w:val="Forte"/>
          <w:rFonts w:asciiTheme="minorHAnsi" w:hAnsiTheme="minorHAnsi" w:cstheme="minorHAnsi"/>
          <w:b w:val="0"/>
          <w:bCs w:val="0"/>
          <w:sz w:val="22"/>
          <w:szCs w:val="22"/>
          <w:shd w:val="clear" w:color="auto" w:fill="FFFFFF"/>
        </w:rPr>
        <w:t>Sicaf</w:t>
      </w:r>
      <w:proofErr w:type="spellEnd"/>
      <w:r w:rsidRPr="00A40924">
        <w:rPr>
          <w:rStyle w:val="Forte"/>
          <w:rFonts w:asciiTheme="minorHAnsi" w:hAnsiTheme="minorHAnsi" w:cstheme="minorHAnsi"/>
          <w:b w:val="0"/>
          <w:bCs w:val="0"/>
          <w:sz w:val="22"/>
          <w:szCs w:val="22"/>
          <w:shd w:val="clear" w:color="auto" w:fill="FFFFFF"/>
        </w:rPr>
        <w:t>, no âmbito do Poder Executivo Federal.</w:t>
      </w:r>
    </w:p>
    <w:p w14:paraId="588AECD4" w14:textId="6D616BB6" w:rsidR="00445FAA" w:rsidRPr="00A40924" w:rsidRDefault="00445FAA" w:rsidP="00445FAA">
      <w:pPr>
        <w:pStyle w:val="PargrafodaLista"/>
        <w:numPr>
          <w:ilvl w:val="2"/>
          <w:numId w:val="30"/>
        </w:numPr>
        <w:spacing w:line="276" w:lineRule="auto"/>
        <w:ind w:right="-15"/>
        <w:jc w:val="both"/>
        <w:rPr>
          <w:rStyle w:val="Forte"/>
          <w:rFonts w:asciiTheme="minorHAnsi" w:hAnsiTheme="minorHAnsi" w:cstheme="minorHAnsi"/>
          <w:b w:val="0"/>
          <w:bCs w:val="0"/>
          <w:sz w:val="22"/>
          <w:szCs w:val="22"/>
        </w:rPr>
      </w:pPr>
      <w:r w:rsidRPr="00A40924">
        <w:rPr>
          <w:rStyle w:val="Forte"/>
          <w:rFonts w:asciiTheme="minorHAnsi" w:hAnsiTheme="minorHAnsi" w:cstheme="minorHAnsi"/>
          <w:b w:val="0"/>
          <w:bCs w:val="0"/>
          <w:sz w:val="22"/>
          <w:szCs w:val="22"/>
          <w:shd w:val="clear" w:color="auto" w:fill="FFFFFF"/>
        </w:rPr>
        <w:t>Norma de Serviços nº 666/2018 (UFF), de 18 de janeiro de 2018, que institui o Sistema Unificado de Compras e estabelece normas e rotinas para aquisição de bens no âmbito da Universidade Federal Fluminense.</w:t>
      </w:r>
    </w:p>
    <w:p w14:paraId="4D6E08B2" w14:textId="77777777" w:rsidR="00992D60" w:rsidRPr="00A40924" w:rsidRDefault="00992D60" w:rsidP="00992D60">
      <w:pPr>
        <w:pStyle w:val="PargrafodaLista"/>
        <w:spacing w:line="276" w:lineRule="auto"/>
        <w:ind w:left="1080" w:right="-15"/>
        <w:jc w:val="both"/>
        <w:rPr>
          <w:rFonts w:asciiTheme="minorHAnsi" w:hAnsiTheme="minorHAnsi" w:cstheme="minorHAnsi"/>
          <w:sz w:val="22"/>
          <w:szCs w:val="22"/>
        </w:rPr>
      </w:pPr>
    </w:p>
    <w:p w14:paraId="7741D743" w14:textId="2A6F639F" w:rsidR="00BD58B4" w:rsidRPr="00A40924" w:rsidRDefault="00CA7856" w:rsidP="00CA7856">
      <w:pPr>
        <w:pStyle w:val="PargrafodaLista"/>
        <w:numPr>
          <w:ilvl w:val="0"/>
          <w:numId w:val="30"/>
        </w:numPr>
        <w:spacing w:after="120" w:line="276" w:lineRule="auto"/>
        <w:ind w:right="-15"/>
        <w:jc w:val="both"/>
        <w:rPr>
          <w:rFonts w:asciiTheme="minorHAnsi" w:hAnsiTheme="minorHAnsi" w:cstheme="minorHAnsi"/>
          <w:b/>
          <w:bCs/>
          <w:sz w:val="22"/>
          <w:szCs w:val="22"/>
        </w:rPr>
      </w:pPr>
      <w:r w:rsidRPr="00A40924">
        <w:rPr>
          <w:rFonts w:asciiTheme="minorHAnsi" w:hAnsiTheme="minorHAnsi" w:cstheme="minorHAnsi"/>
          <w:b/>
          <w:bCs/>
          <w:sz w:val="22"/>
          <w:szCs w:val="22"/>
        </w:rPr>
        <w:t>NECESSIDADES DA CONTRATAÇÃO</w:t>
      </w:r>
    </w:p>
    <w:p w14:paraId="0E4D8C1A" w14:textId="18D8A51E"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Esta contratação visa proporcionar o atendimento das demandas planejadas pelas unidades administrativas e acadêmicas da Universidade Federal, pelo sistema unificado </w:t>
      </w:r>
      <w:proofErr w:type="spellStart"/>
      <w:r w:rsidRPr="00A40924">
        <w:rPr>
          <w:rFonts w:asciiTheme="minorHAnsi" w:hAnsiTheme="minorHAnsi" w:cstheme="minorHAnsi"/>
          <w:sz w:val="22"/>
          <w:szCs w:val="22"/>
        </w:rPr>
        <w:t>SIACompras</w:t>
      </w:r>
      <w:proofErr w:type="spellEnd"/>
      <w:r w:rsidRPr="00A40924">
        <w:rPr>
          <w:rFonts w:asciiTheme="minorHAnsi" w:hAnsiTheme="minorHAnsi" w:cstheme="minorHAnsi"/>
          <w:sz w:val="22"/>
          <w:szCs w:val="22"/>
        </w:rPr>
        <w:t xml:space="preserve"> &lt;</w:t>
      </w:r>
      <w:hyperlink r:id="rId9" w:history="1">
        <w:r w:rsidRPr="00A40924">
          <w:rPr>
            <w:rStyle w:val="Hyperlink"/>
            <w:rFonts w:asciiTheme="minorHAnsi" w:hAnsiTheme="minorHAnsi" w:cstheme="minorHAnsi"/>
            <w:sz w:val="22"/>
            <w:szCs w:val="22"/>
          </w:rPr>
          <w:t>https://app.uff.br/sia/compras/</w:t>
        </w:r>
      </w:hyperlink>
      <w:r w:rsidRPr="00A40924">
        <w:rPr>
          <w:rFonts w:asciiTheme="minorHAnsi" w:hAnsiTheme="minorHAnsi" w:cstheme="minorHAnsi"/>
          <w:sz w:val="22"/>
          <w:szCs w:val="22"/>
        </w:rPr>
        <w:t xml:space="preserve">&gt; do grupo de materiais relacionados no presente processo. </w:t>
      </w:r>
    </w:p>
    <w:p w14:paraId="55B35EC9" w14:textId="12C1B1E6"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O fornecimento de tais objetos se justifica pela necessária reposição aos usuários para realização de suas atividades laborais, quer sejam administrativas, operacionais ou de pesquisa, ensino e extensão.</w:t>
      </w:r>
    </w:p>
    <w:p w14:paraId="5E9E2C9B" w14:textId="180F8E59" w:rsidR="00B86D25" w:rsidRPr="00B86D25" w:rsidRDefault="00CA7856" w:rsidP="00B86D25">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Apesar de necessário, conforme justificativas apresentadas pelos Gestores de Recurso quando da formulação do Planejamento de Aquisição, só serão efetivamente executadas após disponibilização e indicação de recursos orçamentários suficientes para contratação.</w:t>
      </w:r>
    </w:p>
    <w:p w14:paraId="63B26D4A" w14:textId="2F7EB803" w:rsidR="00CA7856" w:rsidRPr="00A40924" w:rsidRDefault="00CA7856" w:rsidP="00CA7856">
      <w:pPr>
        <w:spacing w:after="120" w:line="276" w:lineRule="auto"/>
        <w:ind w:right="-15"/>
        <w:jc w:val="both"/>
        <w:rPr>
          <w:rFonts w:asciiTheme="minorHAnsi" w:hAnsiTheme="minorHAnsi" w:cstheme="minorHAnsi"/>
          <w:sz w:val="22"/>
          <w:szCs w:val="22"/>
        </w:rPr>
      </w:pPr>
    </w:p>
    <w:p w14:paraId="2B6623A8" w14:textId="2B72561D" w:rsidR="00CA7856" w:rsidRPr="00A40924" w:rsidRDefault="00CA7856" w:rsidP="00CA7856">
      <w:pPr>
        <w:pStyle w:val="PargrafodaLista"/>
        <w:numPr>
          <w:ilvl w:val="0"/>
          <w:numId w:val="30"/>
        </w:numPr>
        <w:spacing w:after="120" w:line="276" w:lineRule="auto"/>
        <w:ind w:right="-15"/>
        <w:jc w:val="both"/>
        <w:rPr>
          <w:rFonts w:asciiTheme="minorHAnsi" w:hAnsiTheme="minorHAnsi" w:cstheme="minorHAnsi"/>
          <w:b/>
          <w:bCs/>
          <w:sz w:val="22"/>
          <w:szCs w:val="22"/>
        </w:rPr>
      </w:pPr>
      <w:r w:rsidRPr="00A40924">
        <w:rPr>
          <w:rFonts w:asciiTheme="minorHAnsi" w:hAnsiTheme="minorHAnsi" w:cstheme="minorHAnsi"/>
          <w:b/>
          <w:bCs/>
          <w:sz w:val="22"/>
          <w:szCs w:val="22"/>
        </w:rPr>
        <w:t>INSTRUMENTOS DE PLANEJAMENTO</w:t>
      </w:r>
    </w:p>
    <w:p w14:paraId="5C5E5819" w14:textId="27D4BCA8"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A descrição dos itens do Grupo relacionado, incluindo unidades de medida, foi definida pelo Comitê Gestor de Suprimentos após análise de cada objeto, visando a melhor contratação e atendimento das demandas da Universidade.</w:t>
      </w:r>
    </w:p>
    <w:p w14:paraId="2420CB24" w14:textId="35D2F17A"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Preliminarmente a etapa de Planejamento, </w:t>
      </w:r>
      <w:r w:rsidR="00B86D25">
        <w:rPr>
          <w:rFonts w:asciiTheme="minorHAnsi" w:hAnsiTheme="minorHAnsi" w:cstheme="minorHAnsi"/>
          <w:sz w:val="22"/>
          <w:szCs w:val="22"/>
        </w:rPr>
        <w:t>em casos históricos de discrepância da descrição, o Comitê Gestor poderá</w:t>
      </w:r>
      <w:r w:rsidRPr="00A40924">
        <w:rPr>
          <w:rFonts w:asciiTheme="minorHAnsi" w:hAnsiTheme="minorHAnsi" w:cstheme="minorHAnsi"/>
          <w:sz w:val="22"/>
          <w:szCs w:val="22"/>
        </w:rPr>
        <w:t xml:space="preserve"> analisa</w:t>
      </w:r>
      <w:r w:rsidR="00B86D25">
        <w:rPr>
          <w:rFonts w:asciiTheme="minorHAnsi" w:hAnsiTheme="minorHAnsi" w:cstheme="minorHAnsi"/>
          <w:sz w:val="22"/>
          <w:szCs w:val="22"/>
        </w:rPr>
        <w:t>r</w:t>
      </w:r>
      <w:r w:rsidRPr="00A40924">
        <w:rPr>
          <w:rFonts w:asciiTheme="minorHAnsi" w:hAnsiTheme="minorHAnsi" w:cstheme="minorHAnsi"/>
          <w:sz w:val="22"/>
          <w:szCs w:val="22"/>
        </w:rPr>
        <w:t xml:space="preserve"> a descrição e unidades de medidas licitada em ano anterior e readequados para maior eficiência e adequação aos custos operacionais e logísticos de cada item.</w:t>
      </w:r>
    </w:p>
    <w:p w14:paraId="0C380313" w14:textId="234E13DE"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Durante o período de </w:t>
      </w:r>
      <w:r w:rsidR="00D02490" w:rsidRPr="00D02490">
        <w:rPr>
          <w:rFonts w:asciiTheme="minorHAnsi" w:hAnsiTheme="minorHAnsi" w:cstheme="minorHAnsi"/>
          <w:sz w:val="22"/>
          <w:szCs w:val="22"/>
        </w:rPr>
        <w:t>setembro</w:t>
      </w:r>
      <w:r w:rsidRPr="00D02490">
        <w:rPr>
          <w:rFonts w:asciiTheme="minorHAnsi" w:hAnsiTheme="minorHAnsi" w:cstheme="minorHAnsi"/>
          <w:sz w:val="22"/>
          <w:szCs w:val="22"/>
        </w:rPr>
        <w:t>/201</w:t>
      </w:r>
      <w:r w:rsidR="00D02490" w:rsidRPr="00D02490">
        <w:rPr>
          <w:rFonts w:asciiTheme="minorHAnsi" w:hAnsiTheme="minorHAnsi" w:cstheme="minorHAnsi"/>
          <w:sz w:val="22"/>
          <w:szCs w:val="22"/>
        </w:rPr>
        <w:t>8</w:t>
      </w:r>
      <w:r w:rsidRPr="00D02490">
        <w:rPr>
          <w:rFonts w:asciiTheme="minorHAnsi" w:hAnsiTheme="minorHAnsi" w:cstheme="minorHAnsi"/>
          <w:sz w:val="22"/>
          <w:szCs w:val="22"/>
        </w:rPr>
        <w:t xml:space="preserve"> </w:t>
      </w:r>
      <w:proofErr w:type="gramStart"/>
      <w:r w:rsidRPr="00D02490">
        <w:rPr>
          <w:rFonts w:asciiTheme="minorHAnsi" w:hAnsiTheme="minorHAnsi" w:cstheme="minorHAnsi"/>
          <w:sz w:val="22"/>
          <w:szCs w:val="22"/>
        </w:rPr>
        <w:t>à</w:t>
      </w:r>
      <w:proofErr w:type="gramEnd"/>
      <w:r w:rsidRPr="00D02490">
        <w:rPr>
          <w:rFonts w:asciiTheme="minorHAnsi" w:hAnsiTheme="minorHAnsi" w:cstheme="minorHAnsi"/>
          <w:sz w:val="22"/>
          <w:szCs w:val="22"/>
        </w:rPr>
        <w:t xml:space="preserve"> </w:t>
      </w:r>
      <w:r w:rsidR="00D02490" w:rsidRPr="00D02490">
        <w:rPr>
          <w:rFonts w:asciiTheme="minorHAnsi" w:hAnsiTheme="minorHAnsi" w:cstheme="minorHAnsi"/>
          <w:sz w:val="22"/>
          <w:szCs w:val="22"/>
        </w:rPr>
        <w:t>dezembro</w:t>
      </w:r>
      <w:r w:rsidRPr="00D02490">
        <w:rPr>
          <w:rFonts w:asciiTheme="minorHAnsi" w:hAnsiTheme="minorHAnsi" w:cstheme="minorHAnsi"/>
          <w:sz w:val="22"/>
          <w:szCs w:val="22"/>
        </w:rPr>
        <w:t>/20</w:t>
      </w:r>
      <w:r w:rsidR="00D02490" w:rsidRPr="00D02490">
        <w:rPr>
          <w:rFonts w:asciiTheme="minorHAnsi" w:hAnsiTheme="minorHAnsi" w:cstheme="minorHAnsi"/>
          <w:sz w:val="22"/>
          <w:szCs w:val="22"/>
        </w:rPr>
        <w:t>18</w:t>
      </w:r>
      <w:r w:rsidRPr="00D02490">
        <w:rPr>
          <w:rFonts w:asciiTheme="minorHAnsi" w:hAnsiTheme="minorHAnsi" w:cstheme="minorHAnsi"/>
          <w:sz w:val="22"/>
          <w:szCs w:val="22"/>
        </w:rPr>
        <w:t xml:space="preserve"> </w:t>
      </w:r>
      <w:r w:rsidRPr="00A40924">
        <w:rPr>
          <w:rFonts w:asciiTheme="minorHAnsi" w:hAnsiTheme="minorHAnsi" w:cstheme="minorHAnsi"/>
          <w:sz w:val="22"/>
          <w:szCs w:val="22"/>
        </w:rPr>
        <w:t xml:space="preserve">foi aberto no </w:t>
      </w:r>
      <w:proofErr w:type="spellStart"/>
      <w:r w:rsidRPr="00A40924">
        <w:rPr>
          <w:rFonts w:asciiTheme="minorHAnsi" w:hAnsiTheme="minorHAnsi" w:cstheme="minorHAnsi"/>
          <w:sz w:val="22"/>
          <w:szCs w:val="22"/>
        </w:rPr>
        <w:t>SiaCompras</w:t>
      </w:r>
      <w:proofErr w:type="spellEnd"/>
      <w:r w:rsidRPr="00A40924">
        <w:rPr>
          <w:rFonts w:asciiTheme="minorHAnsi" w:hAnsiTheme="minorHAnsi" w:cstheme="minorHAnsi"/>
          <w:sz w:val="22"/>
          <w:szCs w:val="22"/>
        </w:rPr>
        <w:t xml:space="preserve"> o período para inclusão de quantitativo no Planejamento de Compras por cada unidade de recursos.</w:t>
      </w:r>
    </w:p>
    <w:p w14:paraId="5B076C44" w14:textId="455BDF11"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Prevendo situações que não puderam ser planejadas, esta Unidade Gestora, entendeu estabelecer uma Reserva Técnica dos quantitativos planejados, compondo assim o </w:t>
      </w:r>
      <w:proofErr w:type="gramStart"/>
      <w:r w:rsidRPr="00A40924">
        <w:rPr>
          <w:rFonts w:asciiTheme="minorHAnsi" w:hAnsiTheme="minorHAnsi" w:cstheme="minorHAnsi"/>
          <w:sz w:val="22"/>
          <w:szCs w:val="22"/>
        </w:rPr>
        <w:t>resultado final</w:t>
      </w:r>
      <w:proofErr w:type="gramEnd"/>
      <w:r w:rsidRPr="00A40924">
        <w:rPr>
          <w:rFonts w:asciiTheme="minorHAnsi" w:hAnsiTheme="minorHAnsi" w:cstheme="minorHAnsi"/>
          <w:sz w:val="22"/>
          <w:szCs w:val="22"/>
        </w:rPr>
        <w:t xml:space="preserve"> para Licitação.</w:t>
      </w:r>
    </w:p>
    <w:p w14:paraId="22F986F7" w14:textId="65A288E5" w:rsidR="00CA7856"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O percentual da Reserva Técnica foi definido com base em histórico de contratações anteriores similares, e considerando a capilaridade da Universidade Federal Fluminense, com unidades em onze municípios do estado do Rio de Janeiro.</w:t>
      </w:r>
    </w:p>
    <w:p w14:paraId="53D7A43F" w14:textId="5A960E0A" w:rsidR="00D97C60" w:rsidRPr="00A40924"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Acrescenta-se ainda o fato de </w:t>
      </w:r>
      <w:r w:rsidR="00D97C60" w:rsidRPr="00A40924">
        <w:rPr>
          <w:rFonts w:asciiTheme="minorHAnsi" w:hAnsiTheme="minorHAnsi" w:cstheme="minorHAnsi"/>
          <w:sz w:val="22"/>
          <w:szCs w:val="22"/>
        </w:rPr>
        <w:t xml:space="preserve">que </w:t>
      </w:r>
      <w:r w:rsidRPr="00A40924">
        <w:rPr>
          <w:rFonts w:asciiTheme="minorHAnsi" w:hAnsiTheme="minorHAnsi" w:cstheme="minorHAnsi"/>
          <w:sz w:val="22"/>
          <w:szCs w:val="22"/>
        </w:rPr>
        <w:t>a Universidade deve executar diversos recursos orçamentários, além dos Diretores de Unidades Acadêmicas e Administrativas, mas também de Receitas Próprias, Emendas Parlamentares, Receitas da CAPES, CNPQ, PROAP</w:t>
      </w:r>
      <w:r w:rsidR="00D97C60" w:rsidRPr="00A40924">
        <w:rPr>
          <w:rFonts w:asciiTheme="minorHAnsi" w:hAnsiTheme="minorHAnsi" w:cstheme="minorHAnsi"/>
          <w:sz w:val="22"/>
          <w:szCs w:val="22"/>
        </w:rPr>
        <w:t xml:space="preserve"> (Programa de Apoio a Pós-Graduação), ou seja, são diversos Gestores de Recursos.</w:t>
      </w:r>
    </w:p>
    <w:p w14:paraId="276A96EE" w14:textId="4BF982A9" w:rsidR="00CA7856" w:rsidRPr="00A40924" w:rsidRDefault="00D97C60"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Pela complexidade geográfica e quantitativa da Universidade, assim como também a transitoriedade das funções de servidores habilitados a solicitarem aquisição de materiais, como também a implantação de uma cultura de seguir os ritos legais de aquisições (como por exemplo o Planejamento de Compras), justifica-se a Reserva Técnica para evitar interrupções de fornecimento de materiais.</w:t>
      </w:r>
      <w:r w:rsidR="00CA7856" w:rsidRPr="00A40924">
        <w:rPr>
          <w:rFonts w:asciiTheme="minorHAnsi" w:hAnsiTheme="minorHAnsi" w:cstheme="minorHAnsi"/>
          <w:sz w:val="22"/>
          <w:szCs w:val="22"/>
        </w:rPr>
        <w:t xml:space="preserve"> </w:t>
      </w:r>
    </w:p>
    <w:p w14:paraId="26BB80C3" w14:textId="3D4D5EE8" w:rsidR="00CA7856" w:rsidRDefault="00CA7856" w:rsidP="00CA7856">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No </w:t>
      </w:r>
      <w:r w:rsidR="00B86D25" w:rsidRPr="00D02490">
        <w:rPr>
          <w:rFonts w:asciiTheme="minorHAnsi" w:hAnsiTheme="minorHAnsi" w:cstheme="minorHAnsi"/>
          <w:sz w:val="22"/>
          <w:szCs w:val="22"/>
        </w:rPr>
        <w:t>mês</w:t>
      </w:r>
      <w:r w:rsidR="00D02490" w:rsidRPr="00D02490">
        <w:rPr>
          <w:rFonts w:asciiTheme="minorHAnsi" w:hAnsiTheme="minorHAnsi" w:cstheme="minorHAnsi"/>
          <w:sz w:val="22"/>
          <w:szCs w:val="22"/>
        </w:rPr>
        <w:t xml:space="preserve"> de janeiro/2019</w:t>
      </w:r>
      <w:r w:rsidRPr="00A40924">
        <w:rPr>
          <w:rFonts w:asciiTheme="minorHAnsi" w:hAnsiTheme="minorHAnsi" w:cstheme="minorHAnsi"/>
          <w:color w:val="FF0000"/>
          <w:sz w:val="22"/>
          <w:szCs w:val="22"/>
        </w:rPr>
        <w:t xml:space="preserve"> </w:t>
      </w:r>
      <w:r w:rsidRPr="00A40924">
        <w:rPr>
          <w:rFonts w:asciiTheme="minorHAnsi" w:hAnsiTheme="minorHAnsi" w:cstheme="minorHAnsi"/>
          <w:sz w:val="22"/>
          <w:szCs w:val="22"/>
        </w:rPr>
        <w:t xml:space="preserve">foi </w:t>
      </w:r>
      <w:r w:rsidR="00D97C60" w:rsidRPr="00A40924">
        <w:rPr>
          <w:rFonts w:asciiTheme="minorHAnsi" w:hAnsiTheme="minorHAnsi" w:cstheme="minorHAnsi"/>
          <w:sz w:val="22"/>
          <w:szCs w:val="22"/>
        </w:rPr>
        <w:t xml:space="preserve">consolidado o quantitativo a ser licitado, objeto deste Estudo. Foi levado em consideração o planejamento de todos os Gestores de Recursos vinculados à Pró-Reitoria de </w:t>
      </w:r>
      <w:r w:rsidR="00D97C60" w:rsidRPr="00A40924">
        <w:rPr>
          <w:rFonts w:asciiTheme="minorHAnsi" w:hAnsiTheme="minorHAnsi" w:cstheme="minorHAnsi"/>
          <w:sz w:val="22"/>
          <w:szCs w:val="22"/>
        </w:rPr>
        <w:lastRenderedPageBreak/>
        <w:t>Administração (UASG 150182), Pró-Reitoria de Graduação (UASG 153984), Pró-Reitoria de Pesquisa, Pós-Graduação e Inovação (UASG 153248), Pró-Reitoria de Extensão (UASG 156337) e Pró-Reitoria de Assistência Estudantil (UASG 153058).</w:t>
      </w:r>
    </w:p>
    <w:p w14:paraId="1E2BBCD9" w14:textId="5ADC72DF" w:rsidR="001D3599" w:rsidRDefault="001D3599" w:rsidP="00CA7856">
      <w:pPr>
        <w:pStyle w:val="PargrafodaLista"/>
        <w:numPr>
          <w:ilvl w:val="1"/>
          <w:numId w:val="30"/>
        </w:numPr>
        <w:spacing w:after="120" w:line="276" w:lineRule="auto"/>
        <w:ind w:right="-15"/>
        <w:jc w:val="both"/>
        <w:rPr>
          <w:rFonts w:asciiTheme="minorHAnsi" w:hAnsiTheme="minorHAnsi" w:cstheme="minorHAnsi"/>
          <w:sz w:val="22"/>
          <w:szCs w:val="22"/>
        </w:rPr>
      </w:pPr>
      <w:r>
        <w:rPr>
          <w:rFonts w:asciiTheme="minorHAnsi" w:hAnsiTheme="minorHAnsi" w:cstheme="minorHAnsi"/>
          <w:sz w:val="22"/>
          <w:szCs w:val="22"/>
        </w:rPr>
        <w:t xml:space="preserve">Os Pedidos Planejados foram realizados no </w:t>
      </w:r>
      <w:proofErr w:type="spellStart"/>
      <w:r>
        <w:rPr>
          <w:rFonts w:asciiTheme="minorHAnsi" w:hAnsiTheme="minorHAnsi" w:cstheme="minorHAnsi"/>
          <w:sz w:val="22"/>
          <w:szCs w:val="22"/>
        </w:rPr>
        <w:t>SiaCompras</w:t>
      </w:r>
      <w:proofErr w:type="spellEnd"/>
      <w:r>
        <w:rPr>
          <w:rFonts w:asciiTheme="minorHAnsi" w:hAnsiTheme="minorHAnsi" w:cstheme="minorHAnsi"/>
          <w:sz w:val="22"/>
          <w:szCs w:val="22"/>
        </w:rPr>
        <w:t>, através de acesso seguro e restrito (login e senha) pelo Gestor de Recurso. A consolidação por Gestor de Recurso segue anexo a este Estudo Preliminar.</w:t>
      </w:r>
    </w:p>
    <w:p w14:paraId="562FC6FA" w14:textId="75564352" w:rsidR="00942975" w:rsidRPr="00A40924" w:rsidRDefault="00942975" w:rsidP="00CA7856">
      <w:pPr>
        <w:pStyle w:val="PargrafodaLista"/>
        <w:numPr>
          <w:ilvl w:val="1"/>
          <w:numId w:val="30"/>
        </w:numPr>
        <w:spacing w:after="120" w:line="276" w:lineRule="auto"/>
        <w:ind w:right="-15"/>
        <w:jc w:val="both"/>
        <w:rPr>
          <w:rFonts w:asciiTheme="minorHAnsi" w:hAnsiTheme="minorHAnsi" w:cstheme="minorHAnsi"/>
          <w:sz w:val="22"/>
          <w:szCs w:val="22"/>
        </w:rPr>
      </w:pPr>
      <w:r>
        <w:rPr>
          <w:rFonts w:asciiTheme="minorHAnsi" w:hAnsiTheme="minorHAnsi" w:cstheme="minorHAnsi"/>
          <w:sz w:val="22"/>
          <w:szCs w:val="22"/>
        </w:rPr>
        <w:t xml:space="preserve">Acrescenta-se ainda as demandas desta Superintendência de Tecnologia da Informação que não puderam ser planejados pela reduzida </w:t>
      </w:r>
      <w:proofErr w:type="gramStart"/>
      <w:r>
        <w:rPr>
          <w:rFonts w:asciiTheme="minorHAnsi" w:hAnsiTheme="minorHAnsi" w:cstheme="minorHAnsi"/>
          <w:sz w:val="22"/>
          <w:szCs w:val="22"/>
        </w:rPr>
        <w:t>equipe</w:t>
      </w:r>
      <w:proofErr w:type="gramEnd"/>
      <w:r>
        <w:rPr>
          <w:rFonts w:asciiTheme="minorHAnsi" w:hAnsiTheme="minorHAnsi" w:cstheme="minorHAnsi"/>
          <w:sz w:val="22"/>
          <w:szCs w:val="22"/>
        </w:rPr>
        <w:t xml:space="preserve"> mas que se fazem necessários para atendimento das demandas internas.</w:t>
      </w:r>
    </w:p>
    <w:p w14:paraId="2EABD244" w14:textId="3EF46D30" w:rsidR="00D97C60" w:rsidRPr="00A40924" w:rsidRDefault="00D97C60" w:rsidP="00D97C60">
      <w:pPr>
        <w:spacing w:after="120" w:line="276" w:lineRule="auto"/>
        <w:ind w:left="360" w:right="-15"/>
        <w:jc w:val="both"/>
        <w:rPr>
          <w:rFonts w:asciiTheme="minorHAnsi" w:hAnsiTheme="minorHAnsi" w:cstheme="minorHAnsi"/>
          <w:sz w:val="22"/>
          <w:szCs w:val="22"/>
        </w:rPr>
      </w:pPr>
    </w:p>
    <w:p w14:paraId="420DA2B4" w14:textId="2F74B5B1" w:rsidR="00D97C60" w:rsidRPr="00A40924" w:rsidRDefault="00FC1D72" w:rsidP="00FC1D72">
      <w:pPr>
        <w:pStyle w:val="PargrafodaLista"/>
        <w:numPr>
          <w:ilvl w:val="0"/>
          <w:numId w:val="30"/>
        </w:numPr>
        <w:spacing w:after="120" w:line="276" w:lineRule="auto"/>
        <w:ind w:right="-15"/>
        <w:jc w:val="both"/>
        <w:rPr>
          <w:rFonts w:asciiTheme="minorHAnsi" w:hAnsiTheme="minorHAnsi" w:cstheme="minorHAnsi"/>
          <w:b/>
          <w:bCs/>
          <w:sz w:val="22"/>
          <w:szCs w:val="22"/>
        </w:rPr>
      </w:pPr>
      <w:r w:rsidRPr="00A40924">
        <w:rPr>
          <w:rFonts w:asciiTheme="minorHAnsi" w:hAnsiTheme="minorHAnsi" w:cstheme="minorHAnsi"/>
          <w:b/>
          <w:bCs/>
          <w:sz w:val="22"/>
          <w:szCs w:val="22"/>
        </w:rPr>
        <w:t>REQUISITOS DA CONTRATAÇÃO</w:t>
      </w:r>
    </w:p>
    <w:p w14:paraId="7A160216" w14:textId="77777777" w:rsidR="00FC1D72" w:rsidRPr="00A40924" w:rsidRDefault="00FC1D72" w:rsidP="00FC1D72">
      <w:pPr>
        <w:numPr>
          <w:ilvl w:val="1"/>
          <w:numId w:val="30"/>
        </w:numPr>
        <w:suppressAutoHyphens w:val="0"/>
        <w:spacing w:before="120"/>
        <w:jc w:val="both"/>
        <w:rPr>
          <w:rFonts w:asciiTheme="minorHAnsi" w:hAnsiTheme="minorHAnsi" w:cs="Arial"/>
          <w:bCs/>
          <w:iCs/>
          <w:color w:val="000000"/>
          <w:sz w:val="22"/>
          <w:szCs w:val="22"/>
        </w:rPr>
      </w:pPr>
      <w:r w:rsidRPr="00A40924">
        <w:rPr>
          <w:rFonts w:asciiTheme="minorHAnsi" w:hAnsiTheme="minorHAnsi" w:cs="Arial"/>
          <w:bCs/>
          <w:color w:val="000000"/>
          <w:sz w:val="22"/>
          <w:szCs w:val="22"/>
        </w:rPr>
        <w:t>Poderão participar deste Pregão interessados cujo ramo de atividade seja compatível com o objeto desta licitação, e que estejam com Credenciamento regular no</w:t>
      </w:r>
      <w:r w:rsidRPr="00A40924">
        <w:rPr>
          <w:rFonts w:asciiTheme="minorHAnsi" w:hAnsiTheme="minorHAnsi" w:cs="Arial"/>
          <w:color w:val="000000"/>
          <w:sz w:val="22"/>
          <w:szCs w:val="22"/>
        </w:rPr>
        <w:t xml:space="preserve"> Sistema de Cadastramento Unificado de Fornecedores – SICAF, </w:t>
      </w:r>
      <w:r w:rsidRPr="00A40924">
        <w:rPr>
          <w:rFonts w:asciiTheme="minorHAnsi" w:hAnsiTheme="minorHAnsi" w:cs="Arial"/>
          <w:bCs/>
          <w:color w:val="000000"/>
          <w:sz w:val="22"/>
          <w:szCs w:val="22"/>
        </w:rPr>
        <w:t>conforme disposto no art. 9º da IN SEGES/MP nº 3, de 2018.</w:t>
      </w:r>
    </w:p>
    <w:p w14:paraId="4D66876C" w14:textId="77777777" w:rsidR="00FC1D72" w:rsidRPr="00A40924" w:rsidRDefault="00FC1D72" w:rsidP="00FC1D72">
      <w:pPr>
        <w:numPr>
          <w:ilvl w:val="1"/>
          <w:numId w:val="30"/>
        </w:numPr>
        <w:suppressAutoHyphens w:val="0"/>
        <w:spacing w:before="120"/>
        <w:jc w:val="both"/>
        <w:rPr>
          <w:rFonts w:asciiTheme="minorHAnsi" w:hAnsiTheme="minorHAnsi" w:cs="Arial"/>
          <w:bCs/>
          <w:iCs/>
          <w:color w:val="000000"/>
          <w:sz w:val="22"/>
          <w:szCs w:val="22"/>
        </w:rPr>
      </w:pPr>
      <w:r w:rsidRPr="00A40924">
        <w:rPr>
          <w:rFonts w:asciiTheme="minorHAnsi" w:hAnsiTheme="minorHAnsi" w:cs="Arial"/>
          <w:bCs/>
          <w:iCs/>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F7C1BA2" w14:textId="77777777" w:rsidR="00FC1D72" w:rsidRPr="00A40924" w:rsidRDefault="00FC1D72" w:rsidP="00FC1D72">
      <w:pPr>
        <w:numPr>
          <w:ilvl w:val="1"/>
          <w:numId w:val="30"/>
        </w:numPr>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Não poderão participar desta licitação os interessados:</w:t>
      </w:r>
    </w:p>
    <w:p w14:paraId="573D14B4"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sz w:val="22"/>
          <w:szCs w:val="22"/>
        </w:rPr>
      </w:pPr>
      <w:r w:rsidRPr="00A40924">
        <w:rPr>
          <w:rFonts w:asciiTheme="minorHAnsi" w:hAnsiTheme="minorHAnsi" w:cs="Arial"/>
          <w:bCs/>
          <w:sz w:val="22"/>
          <w:szCs w:val="22"/>
        </w:rPr>
        <w:t>proibidos de participar de licitações e celebrar contratos administrativos, na forma da legislação vigente;</w:t>
      </w:r>
    </w:p>
    <w:p w14:paraId="5D502B29"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sz w:val="22"/>
          <w:szCs w:val="22"/>
        </w:rPr>
      </w:pPr>
      <w:r w:rsidRPr="00A40924">
        <w:rPr>
          <w:rFonts w:asciiTheme="minorHAnsi" w:hAnsiTheme="minorHAnsi" w:cs="Arial"/>
          <w:bCs/>
          <w:sz w:val="22"/>
          <w:szCs w:val="22"/>
        </w:rPr>
        <w:t>que não atendam às condições deste Edital e seu(s) anexo(s);</w:t>
      </w:r>
    </w:p>
    <w:p w14:paraId="6794A1B4"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eastAsia="Zurich BT" w:hAnsiTheme="minorHAnsi" w:cs="Arial"/>
          <w:bCs/>
          <w:color w:val="000000"/>
          <w:sz w:val="22"/>
          <w:szCs w:val="22"/>
        </w:rPr>
      </w:pPr>
      <w:r w:rsidRPr="00A40924">
        <w:rPr>
          <w:rFonts w:asciiTheme="minorHAnsi" w:hAnsiTheme="minorHAnsi" w:cs="Arial"/>
          <w:bCs/>
          <w:color w:val="000000"/>
          <w:sz w:val="22"/>
          <w:szCs w:val="22"/>
        </w:rPr>
        <w:t>estrangeiros que não tenham representação legal no Brasil com poderes expressos para receber citação e responder administrativa ou judicialmente;</w:t>
      </w:r>
    </w:p>
    <w:p w14:paraId="4C0C601D"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eastAsia="Zurich BT" w:hAnsiTheme="minorHAnsi" w:cs="Arial"/>
          <w:bCs/>
          <w:color w:val="000000"/>
          <w:sz w:val="22"/>
          <w:szCs w:val="22"/>
        </w:rPr>
      </w:pPr>
      <w:r w:rsidRPr="00A40924">
        <w:rPr>
          <w:rFonts w:asciiTheme="minorHAnsi" w:eastAsia="Arial Unicode MS" w:hAnsiTheme="minorHAnsi" w:cs="Arial"/>
          <w:color w:val="000000"/>
          <w:sz w:val="22"/>
          <w:szCs w:val="22"/>
        </w:rPr>
        <w:t>que se enquadrem nas vedações previstas no artigo 9º da Lei nº 8.666, de 1993;</w:t>
      </w:r>
    </w:p>
    <w:p w14:paraId="11D01DB1"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eastAsia="Zurich BT" w:hAnsiTheme="minorHAnsi" w:cs="Arial"/>
          <w:bCs/>
          <w:color w:val="000000"/>
          <w:sz w:val="22"/>
          <w:szCs w:val="22"/>
        </w:rPr>
      </w:pPr>
      <w:r w:rsidRPr="00A40924">
        <w:rPr>
          <w:rFonts w:asciiTheme="minorHAnsi" w:hAnsiTheme="minorHAnsi" w:cs="Arial"/>
          <w:sz w:val="22"/>
          <w:szCs w:val="22"/>
        </w:rPr>
        <w:t xml:space="preserve"> </w:t>
      </w:r>
      <w:r w:rsidRPr="00A40924">
        <w:rPr>
          <w:rFonts w:asciiTheme="minorHAnsi" w:hAnsiTheme="minorHAnsi" w:cs="Arial"/>
          <w:color w:val="000000"/>
          <w:sz w:val="22"/>
          <w:szCs w:val="22"/>
        </w:rPr>
        <w:t xml:space="preserve">que estejam sob </w:t>
      </w:r>
      <w:proofErr w:type="gramStart"/>
      <w:r w:rsidRPr="00A40924">
        <w:rPr>
          <w:rFonts w:asciiTheme="minorHAnsi" w:hAnsiTheme="minorHAnsi" w:cs="Arial"/>
          <w:color w:val="000000"/>
          <w:sz w:val="22"/>
          <w:szCs w:val="22"/>
        </w:rPr>
        <w:t>falência,  concurso</w:t>
      </w:r>
      <w:proofErr w:type="gramEnd"/>
      <w:r w:rsidRPr="00A40924">
        <w:rPr>
          <w:rFonts w:asciiTheme="minorHAnsi" w:hAnsiTheme="minorHAnsi" w:cs="Arial"/>
          <w:color w:val="000000"/>
          <w:sz w:val="22"/>
          <w:szCs w:val="22"/>
        </w:rPr>
        <w:t xml:space="preserve"> de credores, </w:t>
      </w:r>
      <w:r w:rsidRPr="00A40924">
        <w:rPr>
          <w:rFonts w:asciiTheme="minorHAnsi" w:hAnsiTheme="minorHAnsi" w:cs="Arial"/>
          <w:sz w:val="22"/>
          <w:szCs w:val="22"/>
        </w:rPr>
        <w:t xml:space="preserve">concordata ou </w:t>
      </w:r>
      <w:r w:rsidRPr="00A40924">
        <w:rPr>
          <w:rFonts w:asciiTheme="minorHAnsi" w:hAnsiTheme="minorHAnsi" w:cs="Arial"/>
          <w:color w:val="000000"/>
          <w:sz w:val="22"/>
          <w:szCs w:val="22"/>
        </w:rPr>
        <w:t>em processo de dissolução ou liquidação;</w:t>
      </w:r>
    </w:p>
    <w:p w14:paraId="54B57423"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eastAsia="Zurich BT" w:hAnsiTheme="minorHAnsi" w:cs="Arial"/>
          <w:bCs/>
          <w:color w:val="0000FF"/>
          <w:sz w:val="22"/>
          <w:szCs w:val="22"/>
        </w:rPr>
      </w:pPr>
      <w:r w:rsidRPr="00A40924">
        <w:rPr>
          <w:rFonts w:asciiTheme="minorHAnsi" w:hAnsiTheme="minorHAnsi" w:cs="Arial"/>
          <w:sz w:val="22"/>
          <w:szCs w:val="22"/>
        </w:rPr>
        <w:t>entidades empresariais que estejam reunidas em consórcio;</w:t>
      </w:r>
    </w:p>
    <w:p w14:paraId="18B8ACD5"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color w:val="000000"/>
          <w:sz w:val="22"/>
          <w:szCs w:val="22"/>
        </w:rPr>
      </w:pPr>
      <w:r w:rsidRPr="00A40924">
        <w:rPr>
          <w:rFonts w:asciiTheme="minorHAnsi" w:hAnsiTheme="minorHAnsi" w:cs="Arial"/>
          <w:color w:val="000000"/>
          <w:sz w:val="22"/>
          <w:szCs w:val="22"/>
        </w:rPr>
        <w:t>Organizações da Sociedade Civil de Interesse Público - OSCIP, atuando nessa condição (Acórdão nº 746/2014-TCU-Plenário).</w:t>
      </w:r>
    </w:p>
    <w:p w14:paraId="314D2D24" w14:textId="77777777" w:rsidR="00FC1D72" w:rsidRPr="00A40924" w:rsidRDefault="00FC1D72" w:rsidP="00FC1D72">
      <w:pPr>
        <w:numPr>
          <w:ilvl w:val="1"/>
          <w:numId w:val="30"/>
        </w:numPr>
        <w:suppressAutoHyphens w:val="0"/>
        <w:autoSpaceDE w:val="0"/>
        <w:snapToGrid w:val="0"/>
        <w:spacing w:before="120"/>
        <w:jc w:val="both"/>
        <w:rPr>
          <w:rFonts w:asciiTheme="minorHAnsi" w:hAnsiTheme="minorHAnsi" w:cs="Arial"/>
          <w:color w:val="000000"/>
          <w:sz w:val="22"/>
          <w:szCs w:val="22"/>
        </w:rPr>
      </w:pPr>
      <w:r w:rsidRPr="00A40924">
        <w:rPr>
          <w:rFonts w:asciiTheme="minorHAnsi" w:hAnsiTheme="minorHAnsi" w:cs="Arial"/>
          <w:color w:val="000000"/>
          <w:sz w:val="22"/>
          <w:szCs w:val="22"/>
        </w:rPr>
        <w:t>Como condição para participação no Pregão, a licitante assinalará “sim” ou “não” em campo próprio do sistema eletrônico, relativo às seguintes declarações:</w:t>
      </w:r>
      <w:r w:rsidRPr="00A40924">
        <w:rPr>
          <w:rFonts w:asciiTheme="minorHAnsi" w:eastAsia="Zurich BT" w:hAnsiTheme="minorHAnsi" w:cs="Arial"/>
          <w:bCs/>
          <w:color w:val="000000"/>
          <w:sz w:val="22"/>
          <w:szCs w:val="22"/>
        </w:rPr>
        <w:t xml:space="preserve"> </w:t>
      </w:r>
    </w:p>
    <w:p w14:paraId="78C98BED"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color w:val="000000"/>
          <w:sz w:val="22"/>
          <w:szCs w:val="22"/>
        </w:rPr>
      </w:pPr>
      <w:r w:rsidRPr="00A40924">
        <w:rPr>
          <w:rFonts w:asciiTheme="minorHAnsi" w:hAnsiTheme="minorHAnsi" w:cs="Arial"/>
          <w:bCs/>
          <w:color w:val="000000"/>
          <w:sz w:val="22"/>
          <w:szCs w:val="22"/>
        </w:rPr>
        <w:t xml:space="preserve">que cumpre os requisitos estabelecidos no artigo 3° </w:t>
      </w:r>
      <w:r w:rsidRPr="00A40924">
        <w:rPr>
          <w:rFonts w:asciiTheme="minorHAnsi" w:hAnsiTheme="minorHAnsi" w:cs="Arial"/>
          <w:color w:val="000000"/>
          <w:sz w:val="22"/>
          <w:szCs w:val="22"/>
        </w:rPr>
        <w:t xml:space="preserve">da Lei Complementar nº 123, de 2006, estando apta a usufruir do tratamento favorecido estabelecido em seus </w:t>
      </w:r>
      <w:proofErr w:type="spellStart"/>
      <w:r w:rsidRPr="00A40924">
        <w:rPr>
          <w:rFonts w:asciiTheme="minorHAnsi" w:hAnsiTheme="minorHAnsi" w:cs="Arial"/>
          <w:color w:val="000000"/>
          <w:sz w:val="22"/>
          <w:szCs w:val="22"/>
        </w:rPr>
        <w:t>arts</w:t>
      </w:r>
      <w:proofErr w:type="spellEnd"/>
      <w:r w:rsidRPr="00A40924">
        <w:rPr>
          <w:rFonts w:asciiTheme="minorHAnsi" w:hAnsiTheme="minorHAnsi" w:cs="Arial"/>
          <w:color w:val="000000"/>
          <w:sz w:val="22"/>
          <w:szCs w:val="22"/>
        </w:rPr>
        <w:t xml:space="preserve">. 42 a 49; </w:t>
      </w:r>
    </w:p>
    <w:p w14:paraId="6709F8BC" w14:textId="77777777" w:rsidR="00FC1D72" w:rsidRPr="00A40924" w:rsidRDefault="00FC1D72" w:rsidP="00FC1D72">
      <w:pPr>
        <w:numPr>
          <w:ilvl w:val="3"/>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nos itens exclusivos para participação de microempresas e empresas de pequeno porte, a assinalação do campo “não” impedirá o prosseguimento no certame;</w:t>
      </w:r>
    </w:p>
    <w:p w14:paraId="04982509" w14:textId="77777777" w:rsidR="00FC1D72" w:rsidRPr="00A40924" w:rsidRDefault="00FC1D72" w:rsidP="00FC1D72">
      <w:pPr>
        <w:numPr>
          <w:ilvl w:val="3"/>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BD16A7D"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que está ciente e concorda com as condições contidas no Edital e seus anexos;</w:t>
      </w:r>
    </w:p>
    <w:p w14:paraId="0BEF1B4C" w14:textId="2C5100F2" w:rsidR="00FC1D72" w:rsidRPr="00A40924" w:rsidRDefault="00FC1D72" w:rsidP="00FC1D72">
      <w:pPr>
        <w:pStyle w:val="PargrafodaLista"/>
        <w:numPr>
          <w:ilvl w:val="2"/>
          <w:numId w:val="30"/>
        </w:numPr>
        <w:tabs>
          <w:tab w:val="left" w:pos="1440"/>
        </w:tabs>
        <w:suppressAutoHyphens w:val="0"/>
        <w:autoSpaceDE w:val="0"/>
        <w:snapToGrid w:val="0"/>
        <w:spacing w:before="120"/>
        <w:jc w:val="both"/>
        <w:rPr>
          <w:rFonts w:asciiTheme="minorHAnsi" w:hAnsiTheme="minorHAnsi" w:cs="Arial"/>
          <w:color w:val="000000" w:themeColor="text1"/>
          <w:sz w:val="22"/>
          <w:szCs w:val="22"/>
        </w:rPr>
      </w:pPr>
      <w:r w:rsidRPr="00A40924">
        <w:rPr>
          <w:rFonts w:asciiTheme="minorHAnsi" w:hAnsiTheme="minorHAnsi" w:cs="Arial"/>
          <w:color w:val="000000" w:themeColor="text1"/>
          <w:sz w:val="22"/>
          <w:szCs w:val="22"/>
        </w:rPr>
        <w:lastRenderedPageBreak/>
        <w:t xml:space="preserve">que cumpre os requisitos para a habilitação definidos no Edital e que a </w:t>
      </w:r>
      <w:r w:rsidRPr="00A40924">
        <w:rPr>
          <w:rFonts w:asciiTheme="minorHAnsi" w:hAnsiTheme="minorHAnsi" w:cs="Arial"/>
          <w:color w:val="000000"/>
          <w:sz w:val="22"/>
          <w:szCs w:val="22"/>
        </w:rPr>
        <w:t xml:space="preserve">proposta apresentada está em conformidade com as exigências </w:t>
      </w:r>
      <w:proofErr w:type="spellStart"/>
      <w:r w:rsidRPr="00A40924">
        <w:rPr>
          <w:rFonts w:asciiTheme="minorHAnsi" w:hAnsiTheme="minorHAnsi" w:cs="Arial"/>
          <w:color w:val="000000"/>
          <w:sz w:val="22"/>
          <w:szCs w:val="22"/>
        </w:rPr>
        <w:t>editalícias</w:t>
      </w:r>
      <w:proofErr w:type="spellEnd"/>
      <w:r w:rsidRPr="00A40924">
        <w:rPr>
          <w:rFonts w:asciiTheme="minorHAnsi" w:hAnsiTheme="minorHAnsi" w:cs="Arial"/>
          <w:color w:val="000000"/>
          <w:sz w:val="22"/>
          <w:szCs w:val="22"/>
        </w:rPr>
        <w:t>;</w:t>
      </w:r>
    </w:p>
    <w:p w14:paraId="6EF6FCF0"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 xml:space="preserve">que inexistem fatos impeditivos para sua habilitação no certame, ciente da obrigatoriedade de declarar ocorrências posteriores; </w:t>
      </w:r>
    </w:p>
    <w:p w14:paraId="14526439"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14:paraId="37DB9AE0"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que a proposta foi elaborada de forma independente, nos termos da Instrução Normativa SLTI/MP nº 2, de 16 de setembro de 2009.</w:t>
      </w:r>
    </w:p>
    <w:p w14:paraId="7ED157BE"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color w:val="000000"/>
          <w:sz w:val="22"/>
          <w:szCs w:val="22"/>
        </w:rPr>
      </w:pPr>
      <w:r w:rsidRPr="00A40924">
        <w:rPr>
          <w:rFonts w:asciiTheme="minorHAnsi" w:hAnsiTheme="minorHAnsi"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40200218" w14:textId="77777777" w:rsidR="00FC1D72" w:rsidRPr="00A40924" w:rsidRDefault="00FC1D72" w:rsidP="00FC1D72">
      <w:pPr>
        <w:numPr>
          <w:ilvl w:val="2"/>
          <w:numId w:val="30"/>
        </w:numPr>
        <w:tabs>
          <w:tab w:val="left" w:pos="1440"/>
        </w:tabs>
        <w:suppressAutoHyphens w:val="0"/>
        <w:autoSpaceDE w:val="0"/>
        <w:snapToGrid w:val="0"/>
        <w:spacing w:before="120"/>
        <w:jc w:val="both"/>
        <w:rPr>
          <w:rFonts w:asciiTheme="minorHAnsi" w:hAnsiTheme="minorHAnsi" w:cs="Arial"/>
          <w:bCs/>
          <w:color w:val="FF0000"/>
          <w:sz w:val="22"/>
          <w:szCs w:val="22"/>
        </w:rPr>
      </w:pPr>
      <w:r w:rsidRPr="00A40924">
        <w:rPr>
          <w:rFonts w:asciiTheme="minorHAnsi" w:hAnsiTheme="minorHAnsi" w:cs="Arial"/>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A40924">
        <w:rPr>
          <w:rFonts w:asciiTheme="minorHAnsi" w:hAnsiTheme="minorHAnsi" w:cs="Arial"/>
          <w:bCs/>
          <w:sz w:val="22"/>
          <w:szCs w:val="22"/>
        </w:rPr>
        <w:t>1991.</w:t>
      </w:r>
    </w:p>
    <w:p w14:paraId="2B6B1A06" w14:textId="7EB20C7B" w:rsidR="00FC1D72" w:rsidRPr="00A40924" w:rsidRDefault="00FC1D72" w:rsidP="00FC1D72">
      <w:pPr>
        <w:pStyle w:val="PargrafodaLista"/>
        <w:numPr>
          <w:ilvl w:val="1"/>
          <w:numId w:val="30"/>
        </w:numPr>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 Demais exigências estabelecidas no Edital do Ato Convocatório.</w:t>
      </w:r>
    </w:p>
    <w:p w14:paraId="0F95CDBD" w14:textId="77777777" w:rsidR="00FC1D72" w:rsidRPr="00A40924" w:rsidRDefault="00FC1D72" w:rsidP="00FC1D72">
      <w:pPr>
        <w:pStyle w:val="PargrafodaLista"/>
        <w:ind w:right="-15"/>
        <w:jc w:val="both"/>
        <w:rPr>
          <w:rFonts w:asciiTheme="minorHAnsi" w:hAnsiTheme="minorHAnsi" w:cstheme="minorHAnsi"/>
          <w:sz w:val="22"/>
          <w:szCs w:val="22"/>
        </w:rPr>
      </w:pPr>
    </w:p>
    <w:p w14:paraId="4C37DE70" w14:textId="30D40944" w:rsidR="00FC1D72" w:rsidRPr="00A40924" w:rsidRDefault="00FC1D72" w:rsidP="00FC1D72">
      <w:pPr>
        <w:pStyle w:val="PargrafodaLista"/>
        <w:numPr>
          <w:ilvl w:val="0"/>
          <w:numId w:val="30"/>
        </w:numPr>
        <w:spacing w:after="120" w:line="276" w:lineRule="auto"/>
        <w:ind w:right="-15"/>
        <w:jc w:val="both"/>
        <w:rPr>
          <w:rFonts w:asciiTheme="minorHAnsi" w:hAnsiTheme="minorHAnsi" w:cstheme="minorHAnsi"/>
          <w:b/>
          <w:bCs/>
          <w:caps/>
          <w:sz w:val="22"/>
          <w:szCs w:val="22"/>
        </w:rPr>
      </w:pPr>
      <w:r w:rsidRPr="00A40924">
        <w:rPr>
          <w:rFonts w:asciiTheme="minorHAnsi" w:hAnsiTheme="minorHAnsi" w:cstheme="minorHAnsi"/>
          <w:b/>
          <w:bCs/>
          <w:caps/>
          <w:sz w:val="22"/>
          <w:szCs w:val="22"/>
        </w:rPr>
        <w:t>Critérios e Práticas de Sustentabilidade</w:t>
      </w:r>
    </w:p>
    <w:p w14:paraId="51743863" w14:textId="77777777" w:rsidR="00EC16D9" w:rsidRPr="00A40924" w:rsidRDefault="00EC16D9" w:rsidP="00EC16D9">
      <w:pPr>
        <w:pStyle w:val="PargrafodaLista"/>
        <w:spacing w:after="120" w:line="276" w:lineRule="auto"/>
        <w:ind w:right="-15"/>
        <w:jc w:val="both"/>
        <w:rPr>
          <w:rFonts w:asciiTheme="minorHAnsi" w:hAnsiTheme="minorHAnsi" w:cstheme="minorHAnsi"/>
          <w:b/>
          <w:bCs/>
          <w:caps/>
          <w:sz w:val="22"/>
          <w:szCs w:val="22"/>
        </w:rPr>
      </w:pPr>
    </w:p>
    <w:p w14:paraId="22F33B83" w14:textId="315FF7E8" w:rsidR="00FC1D72" w:rsidRPr="00A40924" w:rsidRDefault="00EC16D9" w:rsidP="00FC1D72">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 Em consulta ao Guia Nacional de Contratações Sustentáveis, Advocacia Geral da União, disponível em &lt;</w:t>
      </w:r>
      <w:r w:rsidRPr="00A40924">
        <w:rPr>
          <w:rFonts w:asciiTheme="minorHAnsi" w:hAnsiTheme="minorHAnsi"/>
          <w:sz w:val="22"/>
          <w:szCs w:val="22"/>
        </w:rPr>
        <w:t xml:space="preserve"> </w:t>
      </w:r>
      <w:hyperlink r:id="rId10" w:history="1">
        <w:r w:rsidRPr="00A40924">
          <w:rPr>
            <w:rStyle w:val="Hyperlink"/>
            <w:rFonts w:asciiTheme="minorHAnsi" w:hAnsiTheme="minorHAnsi" w:cstheme="minorHAnsi"/>
            <w:sz w:val="22"/>
            <w:szCs w:val="22"/>
          </w:rPr>
          <w:t>https://www.agu</w:t>
        </w:r>
        <w:r w:rsidRPr="00A40924">
          <w:rPr>
            <w:rStyle w:val="Hyperlink"/>
            <w:rFonts w:asciiTheme="minorHAnsi" w:hAnsiTheme="minorHAnsi" w:cstheme="minorHAnsi"/>
            <w:sz w:val="22"/>
            <w:szCs w:val="22"/>
          </w:rPr>
          <w:t>.</w:t>
        </w:r>
        <w:r w:rsidRPr="00A40924">
          <w:rPr>
            <w:rStyle w:val="Hyperlink"/>
            <w:rFonts w:asciiTheme="minorHAnsi" w:hAnsiTheme="minorHAnsi" w:cstheme="minorHAnsi"/>
            <w:sz w:val="22"/>
            <w:szCs w:val="22"/>
          </w:rPr>
          <w:t>gov.br/pag</w:t>
        </w:r>
        <w:r w:rsidRPr="00A40924">
          <w:rPr>
            <w:rStyle w:val="Hyperlink"/>
            <w:rFonts w:asciiTheme="minorHAnsi" w:hAnsiTheme="minorHAnsi" w:cstheme="minorHAnsi"/>
            <w:sz w:val="22"/>
            <w:szCs w:val="22"/>
          </w:rPr>
          <w:t>e</w:t>
        </w:r>
        <w:r w:rsidRPr="00A40924">
          <w:rPr>
            <w:rStyle w:val="Hyperlink"/>
            <w:rFonts w:asciiTheme="minorHAnsi" w:hAnsiTheme="minorHAnsi" w:cstheme="minorHAnsi"/>
            <w:sz w:val="22"/>
            <w:szCs w:val="22"/>
          </w:rPr>
          <w:t>/download/index/id/38509486</w:t>
        </w:r>
      </w:hyperlink>
      <w:r w:rsidRPr="00A40924">
        <w:rPr>
          <w:rFonts w:asciiTheme="minorHAnsi" w:hAnsiTheme="minorHAnsi" w:cstheme="minorHAnsi"/>
          <w:sz w:val="22"/>
          <w:szCs w:val="22"/>
        </w:rPr>
        <w:t>&gt; identificou-se as seguintes categorias (principais):</w:t>
      </w:r>
    </w:p>
    <w:p w14:paraId="1BEE1411" w14:textId="4CB6DA5A"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AGROTÓXICOS – SEGURANÇA E REGRAMENTOS PARA USO</w:t>
      </w:r>
    </w:p>
    <w:p w14:paraId="1DE38371" w14:textId="411EA485"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APARELHOS ELÉTRICOS EM GERAL,</w:t>
      </w:r>
    </w:p>
    <w:p w14:paraId="4F9A5303" w14:textId="630ABB4E"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APARELHOS ELETRODOMÉSTICOS</w:t>
      </w:r>
    </w:p>
    <w:p w14:paraId="2DC0926D" w14:textId="0BEAE05E"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AQUISIÇÃO DE ALIMENTOS</w:t>
      </w:r>
    </w:p>
    <w:p w14:paraId="4CAE29C6" w14:textId="06FBEF7A"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DETERGENTE EM PÓ</w:t>
      </w:r>
    </w:p>
    <w:p w14:paraId="0A1EDA30" w14:textId="252E9972"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ENERGIA LIMPA (FOTOVOLTAÍCA)</w:t>
      </w:r>
    </w:p>
    <w:p w14:paraId="07C16310" w14:textId="634936C6"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FRASCOS DE AEROSSOL EM GERAL</w:t>
      </w:r>
    </w:p>
    <w:p w14:paraId="0AC73C33" w14:textId="4AA04DA4"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LÂMPADAS FLUORESCENTES</w:t>
      </w:r>
    </w:p>
    <w:p w14:paraId="02CF5B42" w14:textId="1FED327E"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LIXO TECNOLÓGICO</w:t>
      </w:r>
    </w:p>
    <w:p w14:paraId="69B6DB58" w14:textId="6A58DD63"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MERCÚRIO METÁLICO</w:t>
      </w:r>
    </w:p>
    <w:p w14:paraId="6E321593" w14:textId="785D2F48"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ÓLEO LUBRIFICANTE</w:t>
      </w:r>
    </w:p>
    <w:p w14:paraId="29EBC5E8" w14:textId="46D29655"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PILHAS OU BATERIAS</w:t>
      </w:r>
    </w:p>
    <w:p w14:paraId="17DE1F6F" w14:textId="2F532A2F" w:rsidR="00EC16D9" w:rsidRPr="00A40924" w:rsidRDefault="00EC16D9" w:rsidP="00EC16D9">
      <w:pPr>
        <w:pStyle w:val="PargrafodaLista"/>
        <w:numPr>
          <w:ilvl w:val="0"/>
          <w:numId w:val="32"/>
        </w:numPr>
        <w:spacing w:after="120" w:line="276" w:lineRule="auto"/>
        <w:ind w:right="-15"/>
        <w:jc w:val="both"/>
        <w:rPr>
          <w:rFonts w:asciiTheme="minorHAnsi" w:hAnsiTheme="minorHAnsi" w:cstheme="minorHAnsi"/>
          <w:sz w:val="22"/>
          <w:szCs w:val="22"/>
        </w:rPr>
      </w:pPr>
      <w:r w:rsidRPr="00A40924">
        <w:rPr>
          <w:rFonts w:asciiTheme="minorHAnsi" w:hAnsiTheme="minorHAnsi"/>
          <w:sz w:val="22"/>
          <w:szCs w:val="22"/>
        </w:rPr>
        <w:t>PRODUTOS OU SUBPRODUTOS FLORESTAIS</w:t>
      </w:r>
    </w:p>
    <w:p w14:paraId="24862651" w14:textId="49B64A49" w:rsidR="00EC16D9" w:rsidRPr="00A40924" w:rsidRDefault="00EC16D9" w:rsidP="00EC16D9">
      <w:pPr>
        <w:pStyle w:val="PargrafodaLista"/>
        <w:numPr>
          <w:ilvl w:val="0"/>
          <w:numId w:val="32"/>
        </w:numPr>
        <w:spacing w:after="120" w:line="276" w:lineRule="auto"/>
        <w:ind w:right="-15"/>
        <w:jc w:val="both"/>
        <w:rPr>
          <w:rFonts w:asciiTheme="minorHAnsi" w:hAnsiTheme="minorHAnsi"/>
          <w:sz w:val="22"/>
          <w:szCs w:val="22"/>
        </w:rPr>
      </w:pPr>
      <w:r w:rsidRPr="00A40924">
        <w:rPr>
          <w:rFonts w:asciiTheme="minorHAnsi" w:hAnsiTheme="minorHAnsi"/>
          <w:sz w:val="22"/>
          <w:szCs w:val="22"/>
        </w:rPr>
        <w:t>TECNOLOGIA DA INFORMAÇÃO E COMUNICAÇÃO– AQUISIÇÃO DE (OU SERVIÇOS QUE UTILIZEM) BENS DE INFORMÁTICA E AUTOMAÇÃO</w:t>
      </w:r>
    </w:p>
    <w:p w14:paraId="714CA58A" w14:textId="61069843" w:rsidR="00EC16D9" w:rsidRPr="00D02490" w:rsidRDefault="00EC16D9" w:rsidP="00EC16D9">
      <w:pPr>
        <w:pStyle w:val="PargrafodaLista"/>
        <w:numPr>
          <w:ilvl w:val="1"/>
          <w:numId w:val="30"/>
        </w:numPr>
        <w:spacing w:after="120" w:line="276" w:lineRule="auto"/>
        <w:ind w:right="-15"/>
        <w:jc w:val="both"/>
        <w:rPr>
          <w:rFonts w:asciiTheme="minorHAnsi" w:hAnsiTheme="minorHAnsi" w:cstheme="minorHAnsi"/>
          <w:sz w:val="22"/>
          <w:szCs w:val="22"/>
        </w:rPr>
      </w:pPr>
      <w:r w:rsidRPr="00D02490">
        <w:rPr>
          <w:rFonts w:asciiTheme="minorHAnsi" w:hAnsiTheme="minorHAnsi" w:cstheme="minorHAnsi"/>
          <w:sz w:val="22"/>
          <w:szCs w:val="22"/>
        </w:rPr>
        <w:t>Considerando que nenhum item desta contratação se relaciona aos acima mencionados, os critérios de Sustentabilidade serão os usuais nos Editais.</w:t>
      </w:r>
    </w:p>
    <w:p w14:paraId="5F7FB350" w14:textId="37317E12" w:rsidR="00EC16D9" w:rsidRPr="00A40924" w:rsidRDefault="00EC16D9" w:rsidP="00EC16D9">
      <w:pPr>
        <w:spacing w:after="120" w:line="276" w:lineRule="auto"/>
        <w:ind w:left="360" w:right="-15"/>
        <w:jc w:val="both"/>
        <w:rPr>
          <w:rFonts w:asciiTheme="minorHAnsi" w:hAnsiTheme="minorHAnsi" w:cstheme="minorHAnsi"/>
          <w:sz w:val="22"/>
          <w:szCs w:val="22"/>
        </w:rPr>
      </w:pPr>
    </w:p>
    <w:p w14:paraId="00BE4319" w14:textId="2D02F5AC" w:rsidR="00EC16D9" w:rsidRPr="00A40924" w:rsidRDefault="00EC16D9" w:rsidP="00EC16D9">
      <w:pPr>
        <w:pStyle w:val="PargrafodaLista"/>
        <w:numPr>
          <w:ilvl w:val="0"/>
          <w:numId w:val="30"/>
        </w:numPr>
        <w:spacing w:after="120" w:line="276" w:lineRule="auto"/>
        <w:ind w:right="-15"/>
        <w:jc w:val="both"/>
        <w:rPr>
          <w:rFonts w:asciiTheme="minorHAnsi" w:hAnsiTheme="minorHAnsi" w:cstheme="minorHAnsi"/>
          <w:b/>
          <w:bCs/>
          <w:caps/>
          <w:sz w:val="22"/>
          <w:szCs w:val="22"/>
        </w:rPr>
      </w:pPr>
      <w:r w:rsidRPr="00A40924">
        <w:rPr>
          <w:rFonts w:asciiTheme="minorHAnsi" w:hAnsiTheme="minorHAnsi" w:cstheme="minorHAnsi"/>
          <w:b/>
          <w:bCs/>
          <w:caps/>
          <w:sz w:val="22"/>
          <w:szCs w:val="22"/>
        </w:rPr>
        <w:t>Modalidade de Licitação</w:t>
      </w:r>
    </w:p>
    <w:p w14:paraId="4F623959" w14:textId="2F12D547" w:rsidR="00EC16D9" w:rsidRPr="00A40924" w:rsidRDefault="00EC16D9" w:rsidP="00EC16D9">
      <w:pPr>
        <w:pStyle w:val="TableParagraph"/>
        <w:numPr>
          <w:ilvl w:val="1"/>
          <w:numId w:val="30"/>
        </w:numPr>
        <w:spacing w:before="41"/>
        <w:jc w:val="both"/>
        <w:rPr>
          <w:rFonts w:asciiTheme="minorHAnsi" w:hAnsiTheme="minorHAnsi" w:cstheme="minorHAnsi"/>
          <w:lang w:val="pt-BR" w:eastAsia="pt-BR"/>
        </w:rPr>
      </w:pPr>
      <w:r w:rsidRPr="00A40924">
        <w:rPr>
          <w:rFonts w:asciiTheme="minorHAnsi" w:hAnsiTheme="minorHAnsi" w:cstheme="minorHAnsi"/>
          <w:lang w:val="pt-BR" w:eastAsia="pt-BR"/>
        </w:rPr>
        <w:t xml:space="preserve">Considerando que os objetos a serem contratados são de natureza comum poderá ser adotada a </w:t>
      </w:r>
      <w:r w:rsidRPr="00A40924">
        <w:rPr>
          <w:rFonts w:asciiTheme="minorHAnsi" w:hAnsiTheme="minorHAnsi" w:cstheme="minorHAnsi"/>
          <w:lang w:val="pt-BR" w:eastAsia="pt-BR"/>
        </w:rPr>
        <w:lastRenderedPageBreak/>
        <w:t xml:space="preserve">licitação na modalidade de pregão, regida pela Lei 10.520, de 2002. </w:t>
      </w:r>
    </w:p>
    <w:p w14:paraId="65979449" w14:textId="7B6ED7FA" w:rsidR="00EC16D9" w:rsidRPr="00A40924" w:rsidRDefault="00EC16D9" w:rsidP="00EC16D9">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Será adotado o Sistema de Registro de Preços, </w:t>
      </w:r>
      <w:r w:rsidR="00992D60" w:rsidRPr="00A40924">
        <w:rPr>
          <w:rFonts w:asciiTheme="minorHAnsi" w:hAnsiTheme="minorHAnsi" w:cstheme="minorHAnsi"/>
          <w:sz w:val="22"/>
          <w:szCs w:val="22"/>
        </w:rPr>
        <w:t>pois há necessidades de contratações frequentes, e é conveniente a aquisição de bens com previsão de entregas parceladas.</w:t>
      </w:r>
    </w:p>
    <w:p w14:paraId="389A4666" w14:textId="1BF18F92" w:rsidR="00992D60" w:rsidRPr="001D3599" w:rsidRDefault="00992D60" w:rsidP="001850A4">
      <w:pPr>
        <w:pStyle w:val="PargrafodaLista"/>
        <w:numPr>
          <w:ilvl w:val="1"/>
          <w:numId w:val="30"/>
        </w:numPr>
        <w:spacing w:after="120" w:line="276" w:lineRule="auto"/>
        <w:ind w:right="-15"/>
        <w:jc w:val="both"/>
        <w:rPr>
          <w:rFonts w:asciiTheme="minorHAnsi" w:hAnsiTheme="minorHAnsi" w:cstheme="minorHAnsi"/>
          <w:sz w:val="22"/>
          <w:szCs w:val="22"/>
        </w:rPr>
      </w:pPr>
      <w:r w:rsidRPr="001D3599">
        <w:rPr>
          <w:rFonts w:asciiTheme="minorHAnsi" w:hAnsiTheme="minorHAnsi" w:cstheme="minorHAnsi"/>
          <w:sz w:val="22"/>
          <w:szCs w:val="22"/>
        </w:rPr>
        <w:t xml:space="preserve">Considerando a restrição da limitação operacional da equipe da Coordenação de Licitações da Pró-Reitoria de Administração sugere-se, em consonância com o Decreto 7.892 de 23 de janeiro de 2013, §1º, do Art. 4º, </w:t>
      </w:r>
      <w:r w:rsidR="00942975">
        <w:rPr>
          <w:rFonts w:asciiTheme="minorHAnsi" w:hAnsiTheme="minorHAnsi" w:cstheme="minorHAnsi"/>
          <w:sz w:val="22"/>
          <w:szCs w:val="22"/>
        </w:rPr>
        <w:t xml:space="preserve">não </w:t>
      </w:r>
      <w:r w:rsidRPr="001D3599">
        <w:rPr>
          <w:rFonts w:asciiTheme="minorHAnsi" w:hAnsiTheme="minorHAnsi" w:cstheme="minorHAnsi"/>
          <w:sz w:val="22"/>
          <w:szCs w:val="22"/>
        </w:rPr>
        <w:t>divulgar Intenção de Registro de Preços</w:t>
      </w:r>
      <w:r w:rsidR="00942975">
        <w:rPr>
          <w:rFonts w:asciiTheme="minorHAnsi" w:hAnsiTheme="minorHAnsi" w:cstheme="minorHAnsi"/>
          <w:sz w:val="22"/>
          <w:szCs w:val="22"/>
        </w:rPr>
        <w:t xml:space="preserve"> pelo exíguo prazo de contratação.</w:t>
      </w:r>
    </w:p>
    <w:p w14:paraId="4ACFB5E4" w14:textId="2D660EAD" w:rsidR="00992D60" w:rsidRPr="00A40924" w:rsidRDefault="00992D60" w:rsidP="00EC16D9">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A Licitação em questão, na modalidade mencionada, deverá ter a validade de 12 meses, a contar da data de assinatura da Ata de Registro de Preços.</w:t>
      </w:r>
    </w:p>
    <w:p w14:paraId="3F4DDA24" w14:textId="5098C21C" w:rsidR="00992D60" w:rsidRPr="00A40924" w:rsidRDefault="00992D60" w:rsidP="00992D60">
      <w:pPr>
        <w:spacing w:after="120" w:line="276" w:lineRule="auto"/>
        <w:ind w:left="360" w:right="-15"/>
        <w:jc w:val="both"/>
        <w:rPr>
          <w:rFonts w:asciiTheme="minorHAnsi" w:hAnsiTheme="minorHAnsi" w:cstheme="minorHAnsi"/>
          <w:sz w:val="22"/>
          <w:szCs w:val="22"/>
        </w:rPr>
      </w:pPr>
    </w:p>
    <w:p w14:paraId="0F5B82F1" w14:textId="04795002" w:rsidR="00992D60" w:rsidRPr="00A40924" w:rsidRDefault="00992D60" w:rsidP="00992D60">
      <w:pPr>
        <w:pStyle w:val="PargrafodaLista"/>
        <w:numPr>
          <w:ilvl w:val="0"/>
          <w:numId w:val="30"/>
        </w:numPr>
        <w:spacing w:after="120" w:line="276" w:lineRule="auto"/>
        <w:ind w:right="-15"/>
        <w:jc w:val="both"/>
        <w:rPr>
          <w:rFonts w:asciiTheme="minorHAnsi" w:hAnsiTheme="minorHAnsi" w:cstheme="minorHAnsi"/>
          <w:b/>
          <w:bCs/>
          <w:sz w:val="22"/>
          <w:szCs w:val="22"/>
        </w:rPr>
      </w:pPr>
      <w:r w:rsidRPr="00A40924">
        <w:rPr>
          <w:rFonts w:asciiTheme="minorHAnsi" w:hAnsiTheme="minorHAnsi" w:cstheme="minorHAnsi"/>
          <w:b/>
          <w:bCs/>
          <w:sz w:val="22"/>
          <w:szCs w:val="22"/>
        </w:rPr>
        <w:t>DESCRIÇÃO DOS ITENS</w:t>
      </w:r>
    </w:p>
    <w:p w14:paraId="3CFF15BF" w14:textId="295EBD00" w:rsidR="00992D60" w:rsidRDefault="00992D60" w:rsidP="00992D60">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 xml:space="preserve">A descrição dos itens segue o planejamento realizado no </w:t>
      </w:r>
      <w:proofErr w:type="spellStart"/>
      <w:r w:rsidRPr="00A40924">
        <w:rPr>
          <w:rFonts w:asciiTheme="minorHAnsi" w:hAnsiTheme="minorHAnsi" w:cstheme="minorHAnsi"/>
          <w:sz w:val="22"/>
          <w:szCs w:val="22"/>
        </w:rPr>
        <w:t>SiaCompras</w:t>
      </w:r>
      <w:proofErr w:type="spellEnd"/>
      <w:r w:rsidRPr="00A40924">
        <w:rPr>
          <w:rFonts w:asciiTheme="minorHAnsi" w:hAnsiTheme="minorHAnsi" w:cstheme="minorHAnsi"/>
          <w:sz w:val="22"/>
          <w:szCs w:val="22"/>
        </w:rPr>
        <w:t xml:space="preserve">, e segue </w:t>
      </w:r>
      <w:r w:rsidR="00B86D25">
        <w:rPr>
          <w:rFonts w:asciiTheme="minorHAnsi" w:hAnsiTheme="minorHAnsi" w:cstheme="minorHAnsi"/>
          <w:sz w:val="22"/>
          <w:szCs w:val="22"/>
        </w:rPr>
        <w:t>no Anexo I</w:t>
      </w:r>
      <w:r w:rsidR="001D3599">
        <w:rPr>
          <w:rFonts w:asciiTheme="minorHAnsi" w:hAnsiTheme="minorHAnsi" w:cstheme="minorHAnsi"/>
          <w:sz w:val="22"/>
          <w:szCs w:val="22"/>
        </w:rPr>
        <w:t>-A</w:t>
      </w:r>
      <w:r w:rsidR="00B86D25">
        <w:rPr>
          <w:rFonts w:asciiTheme="minorHAnsi" w:hAnsiTheme="minorHAnsi" w:cstheme="minorHAnsi"/>
          <w:sz w:val="22"/>
          <w:szCs w:val="22"/>
        </w:rPr>
        <w:t xml:space="preserve"> </w:t>
      </w:r>
      <w:r w:rsidRPr="00A40924">
        <w:rPr>
          <w:rFonts w:asciiTheme="minorHAnsi" w:hAnsiTheme="minorHAnsi" w:cstheme="minorHAnsi"/>
          <w:sz w:val="22"/>
          <w:szCs w:val="22"/>
        </w:rPr>
        <w:t>a compilação final para fins Licitatórios</w:t>
      </w:r>
      <w:r w:rsidR="00B86D25">
        <w:rPr>
          <w:rFonts w:asciiTheme="minorHAnsi" w:hAnsiTheme="minorHAnsi" w:cstheme="minorHAnsi"/>
          <w:sz w:val="22"/>
          <w:szCs w:val="22"/>
        </w:rPr>
        <w:t>, incluindo o quantitativo.</w:t>
      </w:r>
    </w:p>
    <w:p w14:paraId="4B767CA4" w14:textId="77777777" w:rsidR="00B86D25" w:rsidRPr="00A40924" w:rsidRDefault="00B86D25" w:rsidP="00B86D25">
      <w:pPr>
        <w:pStyle w:val="PargrafodaLista"/>
        <w:spacing w:after="120" w:line="276" w:lineRule="auto"/>
        <w:ind w:right="-15"/>
        <w:jc w:val="both"/>
        <w:rPr>
          <w:rFonts w:asciiTheme="minorHAnsi" w:hAnsiTheme="minorHAnsi" w:cstheme="minorHAnsi"/>
          <w:sz w:val="22"/>
          <w:szCs w:val="22"/>
        </w:rPr>
      </w:pPr>
    </w:p>
    <w:p w14:paraId="053EF304" w14:textId="28361D02" w:rsidR="00992D60" w:rsidRPr="00A40924" w:rsidRDefault="00992D60" w:rsidP="00992D60">
      <w:pPr>
        <w:pStyle w:val="PargrafodaLista"/>
        <w:numPr>
          <w:ilvl w:val="0"/>
          <w:numId w:val="30"/>
        </w:numPr>
        <w:spacing w:after="120" w:line="276" w:lineRule="auto"/>
        <w:ind w:right="-15"/>
        <w:jc w:val="both"/>
        <w:rPr>
          <w:rFonts w:asciiTheme="minorHAnsi" w:hAnsiTheme="minorHAnsi" w:cstheme="minorHAnsi"/>
          <w:b/>
          <w:bCs/>
          <w:sz w:val="22"/>
          <w:szCs w:val="22"/>
        </w:rPr>
      </w:pPr>
      <w:r w:rsidRPr="00A40924">
        <w:rPr>
          <w:rFonts w:asciiTheme="minorHAnsi" w:hAnsiTheme="minorHAnsi" w:cstheme="minorHAnsi"/>
          <w:b/>
          <w:bCs/>
          <w:sz w:val="22"/>
          <w:szCs w:val="22"/>
        </w:rPr>
        <w:t>ESTIMATIVA DE PREÇOS</w:t>
      </w:r>
    </w:p>
    <w:p w14:paraId="3F03A53A" w14:textId="123FED7D" w:rsidR="00992D60" w:rsidRPr="00A40924" w:rsidRDefault="00E2733A" w:rsidP="00E2733A">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De acordo com a Instrução Normativa nº 3/2017, de 20 de abril de 2017 as pesquisas de preços deverão seguir os seguintes parâmetros:</w:t>
      </w:r>
    </w:p>
    <w:p w14:paraId="6AD03B41" w14:textId="77777777" w:rsidR="00E2733A" w:rsidRPr="00A40924" w:rsidRDefault="00E2733A" w:rsidP="00E2733A">
      <w:pPr>
        <w:pStyle w:val="textojustificadorecuoprimeiralinha"/>
        <w:shd w:val="clear" w:color="auto" w:fill="FFFFFF"/>
        <w:spacing w:before="0" w:beforeAutospacing="0" w:after="0" w:afterAutospacing="0"/>
        <w:ind w:left="720"/>
        <w:textAlignment w:val="baseline"/>
        <w:rPr>
          <w:rFonts w:asciiTheme="minorHAnsi" w:hAnsiTheme="minorHAnsi" w:cstheme="minorHAnsi"/>
          <w:sz w:val="22"/>
          <w:szCs w:val="22"/>
        </w:rPr>
      </w:pPr>
      <w:r w:rsidRPr="00A40924">
        <w:rPr>
          <w:rFonts w:asciiTheme="minorHAnsi" w:hAnsiTheme="minorHAnsi" w:cstheme="minorHAnsi"/>
          <w:sz w:val="22"/>
          <w:szCs w:val="22"/>
        </w:rPr>
        <w:t>I - Painel de Preços, disponível no endereço eletrônico http://paineldeprecos.planejamento.gov.br;</w:t>
      </w:r>
    </w:p>
    <w:p w14:paraId="517E1357" w14:textId="383EBFE4" w:rsidR="00E2733A" w:rsidRPr="00A40924" w:rsidRDefault="00E2733A" w:rsidP="00E2733A">
      <w:pPr>
        <w:pStyle w:val="textojustificadorecuoprimeiralinha"/>
        <w:shd w:val="clear" w:color="auto" w:fill="FFFFFF"/>
        <w:spacing w:before="0" w:beforeAutospacing="0" w:after="0" w:afterAutospacing="0"/>
        <w:ind w:left="720"/>
        <w:textAlignment w:val="baseline"/>
        <w:rPr>
          <w:rFonts w:asciiTheme="minorHAnsi" w:hAnsiTheme="minorHAnsi" w:cstheme="minorHAnsi"/>
          <w:sz w:val="22"/>
          <w:szCs w:val="22"/>
        </w:rPr>
      </w:pPr>
      <w:r w:rsidRPr="00A40924">
        <w:rPr>
          <w:rFonts w:asciiTheme="minorHAnsi" w:hAnsiTheme="minorHAnsi" w:cstheme="minorHAnsi"/>
          <w:sz w:val="22"/>
          <w:szCs w:val="22"/>
        </w:rPr>
        <w:t xml:space="preserve">II - </w:t>
      </w:r>
      <w:r w:rsidR="00A40924" w:rsidRPr="00A40924">
        <w:rPr>
          <w:rFonts w:asciiTheme="minorHAnsi" w:hAnsiTheme="minorHAnsi" w:cstheme="minorHAnsi"/>
          <w:sz w:val="22"/>
          <w:szCs w:val="22"/>
        </w:rPr>
        <w:t>Contratações</w:t>
      </w:r>
      <w:r w:rsidRPr="00A40924">
        <w:rPr>
          <w:rFonts w:asciiTheme="minorHAnsi" w:hAnsiTheme="minorHAnsi" w:cstheme="minorHAnsi"/>
          <w:sz w:val="22"/>
          <w:szCs w:val="22"/>
        </w:rPr>
        <w:t xml:space="preserve"> similares de outros entes públicos, em execução ou concluídos nos 180 (cento e oitenta) dias anteriores à data da pesquisa de preços; </w:t>
      </w:r>
    </w:p>
    <w:p w14:paraId="6CB8CBA4" w14:textId="77777777" w:rsidR="00E2733A" w:rsidRPr="00A40924" w:rsidRDefault="00E2733A" w:rsidP="00E2733A">
      <w:pPr>
        <w:pStyle w:val="textojustificadorecuoprimeiralinha"/>
        <w:shd w:val="clear" w:color="auto" w:fill="FFFFFF"/>
        <w:spacing w:before="0" w:beforeAutospacing="0" w:after="0" w:afterAutospacing="0"/>
        <w:ind w:left="720"/>
        <w:textAlignment w:val="baseline"/>
        <w:rPr>
          <w:rFonts w:asciiTheme="minorHAnsi" w:hAnsiTheme="minorHAnsi" w:cstheme="minorHAnsi"/>
          <w:sz w:val="22"/>
          <w:szCs w:val="22"/>
        </w:rPr>
      </w:pPr>
      <w:r w:rsidRPr="00A40924">
        <w:rPr>
          <w:rFonts w:asciiTheme="minorHAnsi" w:hAnsiTheme="minorHAnsi" w:cstheme="minorHAnsi"/>
          <w:sz w:val="22"/>
          <w:szCs w:val="22"/>
        </w:rPr>
        <w:t>III - pesquisa publicada em mídia especializada, sítios eletrônicos especializados ou de domínio amplo, desde que contenha a data e hora de acesso; ou</w:t>
      </w:r>
    </w:p>
    <w:p w14:paraId="08694705" w14:textId="6F56E81D" w:rsidR="00E2733A" w:rsidRPr="00A40924" w:rsidRDefault="00E2733A" w:rsidP="00E2733A">
      <w:pPr>
        <w:pStyle w:val="textojustificadorecuoprimeiralinha"/>
        <w:shd w:val="clear" w:color="auto" w:fill="FFFFFF"/>
        <w:spacing w:before="0" w:beforeAutospacing="0" w:after="0" w:afterAutospacing="0"/>
        <w:ind w:left="720"/>
        <w:textAlignment w:val="baseline"/>
        <w:rPr>
          <w:rFonts w:asciiTheme="minorHAnsi" w:hAnsiTheme="minorHAnsi" w:cstheme="minorHAnsi"/>
          <w:sz w:val="22"/>
          <w:szCs w:val="22"/>
        </w:rPr>
      </w:pPr>
      <w:r w:rsidRPr="00A40924">
        <w:rPr>
          <w:rFonts w:asciiTheme="minorHAnsi" w:hAnsiTheme="minorHAnsi" w:cstheme="minorHAnsi"/>
          <w:sz w:val="22"/>
          <w:szCs w:val="22"/>
        </w:rPr>
        <w:t xml:space="preserve">IV - </w:t>
      </w:r>
      <w:r w:rsidR="00A40924" w:rsidRPr="00A40924">
        <w:rPr>
          <w:rFonts w:asciiTheme="minorHAnsi" w:hAnsiTheme="minorHAnsi" w:cstheme="minorHAnsi"/>
          <w:sz w:val="22"/>
          <w:szCs w:val="22"/>
        </w:rPr>
        <w:t>Pesquisa</w:t>
      </w:r>
      <w:r w:rsidRPr="00A40924">
        <w:rPr>
          <w:rFonts w:asciiTheme="minorHAnsi" w:hAnsiTheme="minorHAnsi" w:cstheme="minorHAnsi"/>
          <w:sz w:val="22"/>
          <w:szCs w:val="22"/>
        </w:rPr>
        <w:t xml:space="preserve"> com os fornecedores, desde que as datas das pesquisas não se diferenciem em mais de 180 (cento e oitenta) dias. </w:t>
      </w:r>
    </w:p>
    <w:p w14:paraId="39868BB5" w14:textId="54C0F75D" w:rsidR="00E2733A" w:rsidRDefault="00E2733A" w:rsidP="00E2733A">
      <w:pPr>
        <w:pStyle w:val="PargrafodaLista"/>
        <w:numPr>
          <w:ilvl w:val="1"/>
          <w:numId w:val="30"/>
        </w:numPr>
        <w:spacing w:after="120" w:line="276" w:lineRule="auto"/>
        <w:ind w:right="-15"/>
        <w:jc w:val="both"/>
        <w:rPr>
          <w:rFonts w:asciiTheme="minorHAnsi" w:hAnsiTheme="minorHAnsi" w:cstheme="minorHAnsi"/>
          <w:sz w:val="22"/>
          <w:szCs w:val="22"/>
        </w:rPr>
      </w:pPr>
      <w:r w:rsidRPr="00A40924">
        <w:rPr>
          <w:rFonts w:asciiTheme="minorHAnsi" w:hAnsiTheme="minorHAnsi" w:cstheme="minorHAnsi"/>
          <w:sz w:val="22"/>
          <w:szCs w:val="22"/>
        </w:rPr>
        <w:t>Sendo assim, foi realizada Pesquisa de Preços, anexadas ao presente processo, com data de realização e identificação do servidor responsável, ressaltando ainda a medida estatística utilizada (média</w:t>
      </w:r>
      <w:r w:rsidR="00B86D25">
        <w:rPr>
          <w:rFonts w:asciiTheme="minorHAnsi" w:hAnsiTheme="minorHAnsi" w:cstheme="minorHAnsi"/>
          <w:sz w:val="22"/>
          <w:szCs w:val="22"/>
        </w:rPr>
        <w:t xml:space="preserve"> ou</w:t>
      </w:r>
      <w:r w:rsidRPr="00A40924">
        <w:rPr>
          <w:rFonts w:asciiTheme="minorHAnsi" w:hAnsiTheme="minorHAnsi" w:cstheme="minorHAnsi"/>
          <w:sz w:val="22"/>
          <w:szCs w:val="22"/>
        </w:rPr>
        <w:t xml:space="preserve"> mediana)</w:t>
      </w:r>
      <w:r w:rsidR="00B86D25">
        <w:rPr>
          <w:rFonts w:asciiTheme="minorHAnsi" w:hAnsiTheme="minorHAnsi" w:cstheme="minorHAnsi"/>
          <w:sz w:val="22"/>
          <w:szCs w:val="22"/>
        </w:rPr>
        <w:t>, e observações pertinentes</w:t>
      </w:r>
      <w:r w:rsidRPr="00A40924">
        <w:rPr>
          <w:rFonts w:asciiTheme="minorHAnsi" w:hAnsiTheme="minorHAnsi" w:cstheme="minorHAnsi"/>
          <w:sz w:val="22"/>
          <w:szCs w:val="22"/>
        </w:rPr>
        <w:t>.</w:t>
      </w:r>
    </w:p>
    <w:p w14:paraId="09DE89A6" w14:textId="77777777" w:rsidR="00B86D25" w:rsidRDefault="00B86D25" w:rsidP="00B86D25">
      <w:pPr>
        <w:pStyle w:val="PargrafodaLista"/>
        <w:spacing w:after="120" w:line="276" w:lineRule="auto"/>
        <w:ind w:right="-15"/>
        <w:jc w:val="both"/>
        <w:rPr>
          <w:rFonts w:asciiTheme="minorHAnsi" w:hAnsiTheme="minorHAnsi" w:cstheme="minorHAnsi"/>
          <w:sz w:val="22"/>
          <w:szCs w:val="22"/>
        </w:rPr>
      </w:pPr>
    </w:p>
    <w:p w14:paraId="20E504F9" w14:textId="28C468AB" w:rsidR="00B86D25" w:rsidRPr="00B86D25" w:rsidRDefault="00B86D25" w:rsidP="00B86D25">
      <w:pPr>
        <w:pStyle w:val="PargrafodaLista"/>
        <w:numPr>
          <w:ilvl w:val="0"/>
          <w:numId w:val="30"/>
        </w:numPr>
        <w:spacing w:after="120" w:line="276" w:lineRule="auto"/>
        <w:ind w:right="-15"/>
        <w:jc w:val="both"/>
        <w:rPr>
          <w:rFonts w:asciiTheme="minorHAnsi" w:hAnsiTheme="minorHAnsi" w:cstheme="minorHAnsi"/>
          <w:b/>
          <w:bCs/>
          <w:sz w:val="22"/>
          <w:szCs w:val="22"/>
        </w:rPr>
      </w:pPr>
      <w:r w:rsidRPr="00B86D25">
        <w:rPr>
          <w:rFonts w:asciiTheme="minorHAnsi" w:hAnsiTheme="minorHAnsi" w:cstheme="minorHAnsi"/>
          <w:b/>
          <w:bCs/>
          <w:sz w:val="22"/>
          <w:szCs w:val="22"/>
        </w:rPr>
        <w:t>Margens de Preferência</w:t>
      </w:r>
    </w:p>
    <w:p w14:paraId="018350C5" w14:textId="77777777" w:rsidR="00B86D25" w:rsidRPr="00320C90" w:rsidRDefault="00B86D25" w:rsidP="00B86D25">
      <w:pPr>
        <w:numPr>
          <w:ilvl w:val="2"/>
          <w:numId w:val="30"/>
        </w:numPr>
        <w:spacing w:line="276" w:lineRule="auto"/>
        <w:jc w:val="both"/>
        <w:rPr>
          <w:rFonts w:asciiTheme="minorHAnsi" w:hAnsiTheme="minorHAnsi" w:cstheme="minorHAnsi"/>
          <w:sz w:val="22"/>
          <w:szCs w:val="22"/>
        </w:rPr>
      </w:pPr>
      <w:r>
        <w:rPr>
          <w:rFonts w:asciiTheme="minorHAnsi" w:hAnsiTheme="minorHAnsi" w:cstheme="minorHAnsi"/>
          <w:sz w:val="22"/>
          <w:szCs w:val="22"/>
        </w:rPr>
        <w:t>Em atendimento ao Decreto nº 8.538/2015 e Lei Complementar nº 123/2006, esta Administração procederá com Margens de Preferência (até 25% de cada item acima de R$80.000,00) ou Exclusividade em 100% de itens comuns para empresas enquadradas como Microempresas, ou Empresas de Pequeno Porte (item abaixo de R$80.000,00).</w:t>
      </w:r>
    </w:p>
    <w:p w14:paraId="25BE5016" w14:textId="77777777" w:rsidR="00B86D25" w:rsidRPr="006B6AF9" w:rsidRDefault="00B86D25" w:rsidP="00B86D25">
      <w:pPr>
        <w:pStyle w:val="PargrafodaLista"/>
        <w:numPr>
          <w:ilvl w:val="2"/>
          <w:numId w:val="30"/>
        </w:numPr>
        <w:suppressAutoHyphens w:val="0"/>
        <w:spacing w:before="120" w:after="120" w:line="276" w:lineRule="auto"/>
        <w:contextualSpacing w:val="0"/>
        <w:jc w:val="both"/>
        <w:rPr>
          <w:rFonts w:asciiTheme="minorHAnsi" w:hAnsiTheme="minorHAnsi" w:cstheme="minorHAnsi"/>
          <w:iCs/>
          <w:sz w:val="22"/>
          <w:szCs w:val="22"/>
        </w:rPr>
      </w:pPr>
      <w:r w:rsidRPr="006B6AF9">
        <w:rPr>
          <w:rFonts w:asciiTheme="minorHAnsi" w:hAnsiTheme="minorHAnsi" w:cstheme="minorHAnsi"/>
          <w:iCs/>
          <w:sz w:val="22"/>
          <w:szCs w:val="22"/>
        </w:rPr>
        <w:t>Na hipótese de não haver vencedor para a cota reservada, esta poderá ser adjudicada ao vencedor da cota principal ou, diante de sua recusa, aos licitantes remanescentes, desde que pratiquem o preço do primeiro colocado da cota principal.</w:t>
      </w:r>
    </w:p>
    <w:p w14:paraId="11133084" w14:textId="77777777" w:rsidR="00B86D25" w:rsidRPr="006B6AF9" w:rsidRDefault="00B86D25" w:rsidP="00B86D25">
      <w:pPr>
        <w:pStyle w:val="PargrafodaLista"/>
        <w:numPr>
          <w:ilvl w:val="2"/>
          <w:numId w:val="30"/>
        </w:numPr>
        <w:suppressAutoHyphens w:val="0"/>
        <w:spacing w:before="120" w:after="120" w:line="276" w:lineRule="auto"/>
        <w:contextualSpacing w:val="0"/>
        <w:jc w:val="both"/>
        <w:rPr>
          <w:rFonts w:asciiTheme="minorHAnsi" w:hAnsiTheme="minorHAnsi" w:cstheme="minorHAnsi"/>
          <w:iCs/>
          <w:sz w:val="22"/>
          <w:szCs w:val="22"/>
        </w:rPr>
      </w:pPr>
      <w:r w:rsidRPr="006B6AF9">
        <w:rPr>
          <w:rFonts w:asciiTheme="minorHAnsi" w:hAnsiTheme="minorHAnsi" w:cstheme="minorHAnsi"/>
          <w:iCs/>
          <w:sz w:val="22"/>
          <w:szCs w:val="22"/>
        </w:rPr>
        <w:t>Se a mesma empresa vencer a cota reservada e a cota principal, a contratação das cotas deverá ocorrer pelo menor preço.</w:t>
      </w:r>
    </w:p>
    <w:p w14:paraId="2838F2BC" w14:textId="77777777" w:rsidR="00B86D25" w:rsidRPr="006B6AF9" w:rsidRDefault="00B86D25" w:rsidP="00B86D25">
      <w:pPr>
        <w:pStyle w:val="PargrafodaLista"/>
        <w:numPr>
          <w:ilvl w:val="2"/>
          <w:numId w:val="30"/>
        </w:numPr>
        <w:suppressAutoHyphens w:val="0"/>
        <w:autoSpaceDE w:val="0"/>
        <w:spacing w:after="120" w:line="276" w:lineRule="auto"/>
        <w:contextualSpacing w:val="0"/>
        <w:jc w:val="both"/>
        <w:rPr>
          <w:rFonts w:asciiTheme="minorHAnsi" w:hAnsiTheme="minorHAnsi" w:cstheme="minorHAnsi"/>
          <w:b/>
          <w:iCs/>
          <w:sz w:val="22"/>
          <w:szCs w:val="22"/>
        </w:rPr>
      </w:pPr>
      <w:r w:rsidRPr="006B6AF9">
        <w:rPr>
          <w:rFonts w:asciiTheme="minorHAnsi" w:hAnsiTheme="minorHAnsi" w:cstheme="minorHAnsi"/>
          <w:iCs/>
          <w:sz w:val="22"/>
          <w:szCs w:val="22"/>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4064F044" w14:textId="1A1779BA" w:rsidR="00E2733A" w:rsidRDefault="00B86D25" w:rsidP="00B86D25">
      <w:pPr>
        <w:pStyle w:val="PargrafodaLista"/>
        <w:numPr>
          <w:ilvl w:val="1"/>
          <w:numId w:val="30"/>
        </w:numPr>
        <w:spacing w:after="120" w:line="276" w:lineRule="auto"/>
        <w:ind w:right="-15"/>
        <w:jc w:val="both"/>
        <w:rPr>
          <w:rFonts w:asciiTheme="minorHAnsi" w:hAnsiTheme="minorHAnsi" w:cstheme="minorHAnsi"/>
          <w:sz w:val="22"/>
          <w:szCs w:val="22"/>
        </w:rPr>
      </w:pPr>
      <w:r>
        <w:rPr>
          <w:rFonts w:asciiTheme="minorHAnsi" w:hAnsiTheme="minorHAnsi" w:cstheme="minorHAnsi"/>
          <w:sz w:val="22"/>
          <w:szCs w:val="22"/>
        </w:rPr>
        <w:lastRenderedPageBreak/>
        <w:t xml:space="preserve"> Os itens que se configuram como beneficiários da Margem de Preferência encontram-se no Anexo com o Detalhamento do Quantitativo e Especificação (Anexo I-A).</w:t>
      </w:r>
    </w:p>
    <w:p w14:paraId="11A594C9" w14:textId="5D8AABAC" w:rsidR="00B86D25" w:rsidRDefault="00B86D25" w:rsidP="00B86D25">
      <w:pPr>
        <w:spacing w:after="120" w:line="276" w:lineRule="auto"/>
        <w:ind w:left="360" w:right="-15"/>
        <w:jc w:val="both"/>
        <w:rPr>
          <w:rFonts w:asciiTheme="minorHAnsi" w:hAnsiTheme="minorHAnsi" w:cstheme="minorHAnsi"/>
          <w:sz w:val="22"/>
          <w:szCs w:val="22"/>
        </w:rPr>
      </w:pPr>
    </w:p>
    <w:p w14:paraId="2BE8DF52" w14:textId="2AEEDFC1" w:rsidR="00B86D25" w:rsidRDefault="00B86D25" w:rsidP="00B86D25">
      <w:pPr>
        <w:pStyle w:val="PargrafodaLista"/>
        <w:numPr>
          <w:ilvl w:val="0"/>
          <w:numId w:val="30"/>
        </w:numPr>
        <w:spacing w:after="120" w:line="276" w:lineRule="auto"/>
        <w:ind w:right="-15"/>
        <w:jc w:val="both"/>
        <w:rPr>
          <w:rFonts w:asciiTheme="minorHAnsi" w:hAnsiTheme="minorHAnsi" w:cstheme="minorHAnsi"/>
          <w:b/>
          <w:bCs/>
          <w:sz w:val="22"/>
          <w:szCs w:val="22"/>
        </w:rPr>
      </w:pPr>
      <w:r>
        <w:rPr>
          <w:rFonts w:asciiTheme="minorHAnsi" w:hAnsiTheme="minorHAnsi" w:cstheme="minorHAnsi"/>
          <w:b/>
          <w:bCs/>
          <w:sz w:val="22"/>
          <w:szCs w:val="22"/>
        </w:rPr>
        <w:t>CRITÉRIO DA DISPUTA DO PREGÃO ELETRÔNICO</w:t>
      </w:r>
    </w:p>
    <w:p w14:paraId="290AC56F" w14:textId="77777777" w:rsidR="00B86D25" w:rsidRPr="00B86D25" w:rsidRDefault="00B86D25" w:rsidP="00B86D25">
      <w:pPr>
        <w:pStyle w:val="PargrafodaLista"/>
        <w:spacing w:after="120" w:line="276" w:lineRule="auto"/>
        <w:ind w:right="-15"/>
        <w:jc w:val="both"/>
        <w:rPr>
          <w:rFonts w:asciiTheme="minorHAnsi" w:hAnsiTheme="minorHAnsi" w:cstheme="minorHAnsi"/>
          <w:b/>
          <w:bCs/>
          <w:sz w:val="22"/>
          <w:szCs w:val="22"/>
        </w:rPr>
      </w:pPr>
    </w:p>
    <w:p w14:paraId="03DEDA97" w14:textId="5E1712E3" w:rsidR="00B86D25" w:rsidRPr="00B86D25" w:rsidRDefault="00B86D25" w:rsidP="00D77252">
      <w:pPr>
        <w:pStyle w:val="PargrafodaLista"/>
        <w:numPr>
          <w:ilvl w:val="1"/>
          <w:numId w:val="30"/>
        </w:numPr>
        <w:suppressAutoHyphens w:val="0"/>
        <w:spacing w:before="120" w:after="120" w:line="276" w:lineRule="auto"/>
        <w:ind w:left="360" w:right="-15"/>
        <w:jc w:val="both"/>
        <w:rPr>
          <w:rFonts w:asciiTheme="minorHAnsi" w:hAnsiTheme="minorHAnsi" w:cstheme="minorHAnsi"/>
          <w:sz w:val="22"/>
          <w:szCs w:val="22"/>
        </w:rPr>
      </w:pPr>
      <w:r w:rsidRPr="00B86D25">
        <w:rPr>
          <w:rFonts w:asciiTheme="minorHAnsi" w:hAnsiTheme="minorHAnsi" w:cstheme="minorHAnsi"/>
          <w:iCs/>
          <w:sz w:val="22"/>
          <w:szCs w:val="22"/>
        </w:rPr>
        <w:t xml:space="preserve">Com o Decreto 10.024 de 20 de setembro de 2019, foi permitido estabelecer o critério de disputa dos licitantes na fase de lances (Modo Aberto, ou Aberto-Fechado).  </w:t>
      </w:r>
    </w:p>
    <w:p w14:paraId="66A6947F" w14:textId="673D04D2"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Pr>
          <w:rFonts w:asciiTheme="minorHAnsi" w:hAnsiTheme="minorHAnsi" w:cstheme="minorHAnsi"/>
          <w:i/>
          <w:iCs/>
          <w:color w:val="000000"/>
          <w:sz w:val="20"/>
          <w:szCs w:val="20"/>
        </w:rPr>
        <w:t>“</w:t>
      </w:r>
      <w:r w:rsidRPr="00B86D25">
        <w:rPr>
          <w:rFonts w:asciiTheme="minorHAnsi" w:hAnsiTheme="minorHAnsi" w:cstheme="minorHAnsi"/>
          <w:i/>
          <w:iCs/>
          <w:color w:val="000000"/>
          <w:sz w:val="20"/>
          <w:szCs w:val="20"/>
        </w:rPr>
        <w:t>Art. 31.  Serão adotados para o envio de lances no pregão eletrônico os seguintes modos de disputa:</w:t>
      </w:r>
    </w:p>
    <w:p w14:paraId="1F9BB62A"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xml:space="preserve">I - </w:t>
      </w:r>
      <w:proofErr w:type="gramStart"/>
      <w:r w:rsidRPr="00B86D25">
        <w:rPr>
          <w:rFonts w:asciiTheme="minorHAnsi" w:hAnsiTheme="minorHAnsi" w:cstheme="minorHAnsi"/>
          <w:i/>
          <w:iCs/>
          <w:color w:val="000000"/>
          <w:sz w:val="20"/>
          <w:szCs w:val="20"/>
        </w:rPr>
        <w:t>aberto</w:t>
      </w:r>
      <w:proofErr w:type="gramEnd"/>
      <w:r w:rsidRPr="00B86D25">
        <w:rPr>
          <w:rFonts w:asciiTheme="minorHAnsi" w:hAnsiTheme="minorHAnsi" w:cstheme="minorHAnsi"/>
          <w:i/>
          <w:iCs/>
          <w:color w:val="000000"/>
          <w:sz w:val="20"/>
          <w:szCs w:val="20"/>
        </w:rPr>
        <w:t xml:space="preserve"> - os licitantes apresentarão lances públicos e sucessivos, com prorrogações, conforme o critério de julgamento adotado no edital; ou</w:t>
      </w:r>
    </w:p>
    <w:p w14:paraId="33A81D8F"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xml:space="preserve">II - </w:t>
      </w:r>
      <w:proofErr w:type="gramStart"/>
      <w:r w:rsidRPr="00B86D25">
        <w:rPr>
          <w:rFonts w:asciiTheme="minorHAnsi" w:hAnsiTheme="minorHAnsi" w:cstheme="minorHAnsi"/>
          <w:i/>
          <w:iCs/>
          <w:color w:val="000000"/>
          <w:sz w:val="20"/>
          <w:szCs w:val="20"/>
        </w:rPr>
        <w:t>aberto e fechado</w:t>
      </w:r>
      <w:proofErr w:type="gramEnd"/>
      <w:r w:rsidRPr="00B86D25">
        <w:rPr>
          <w:rFonts w:asciiTheme="minorHAnsi" w:hAnsiTheme="minorHAnsi" w:cstheme="minorHAnsi"/>
          <w:i/>
          <w:iCs/>
          <w:color w:val="000000"/>
          <w:sz w:val="20"/>
          <w:szCs w:val="20"/>
        </w:rPr>
        <w:t xml:space="preserve"> - os licitantes apresentarão lances públicos e sucessivos, com lance final e fechado, conforme o critério de julgamento adotado no edital.</w:t>
      </w:r>
    </w:p>
    <w:p w14:paraId="5382C88C"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Parágrafo único.  No modo de disputa aberto, o edital preverá intervalo mínimo de diferença de valores ou de percentuais entre os lances, que incidirá tanto em relação aos lances intermediários quanto em relação ao lance que cobrir a melhor oferta.</w:t>
      </w:r>
    </w:p>
    <w:p w14:paraId="5B547547"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b/>
          <w:bCs/>
          <w:i/>
          <w:iCs/>
          <w:color w:val="000000"/>
          <w:sz w:val="20"/>
          <w:szCs w:val="20"/>
        </w:rPr>
        <w:t>Modo de disputa aberto</w:t>
      </w:r>
    </w:p>
    <w:p w14:paraId="52241D80"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bookmarkStart w:id="1" w:name="art32"/>
      <w:bookmarkEnd w:id="1"/>
      <w:r w:rsidRPr="00B86D25">
        <w:rPr>
          <w:rFonts w:asciiTheme="minorHAnsi" w:hAnsiTheme="minorHAnsi" w:cstheme="minorHAnsi"/>
          <w:i/>
          <w:iCs/>
          <w:color w:val="000000"/>
          <w:sz w:val="20"/>
          <w:szCs w:val="20"/>
        </w:rPr>
        <w:t>Art. 32.  No modo de disputa aberto, de que trata o inciso I do </w:t>
      </w:r>
      <w:r w:rsidRPr="00B86D25">
        <w:rPr>
          <w:rFonts w:asciiTheme="minorHAnsi" w:hAnsiTheme="minorHAnsi" w:cstheme="minorHAnsi"/>
          <w:b/>
          <w:bCs/>
          <w:i/>
          <w:iCs/>
          <w:color w:val="000000"/>
          <w:sz w:val="20"/>
          <w:szCs w:val="20"/>
        </w:rPr>
        <w:t>caput</w:t>
      </w:r>
      <w:r w:rsidRPr="00B86D25">
        <w:rPr>
          <w:rFonts w:asciiTheme="minorHAnsi" w:hAnsiTheme="minorHAnsi" w:cstheme="minorHAnsi"/>
          <w:i/>
          <w:iCs/>
          <w:color w:val="000000"/>
          <w:sz w:val="20"/>
          <w:szCs w:val="20"/>
        </w:rPr>
        <w:t> do art. 31, a etapa de envio de lances na sessão pública durará dez minutos e, após isso, será prorrogada automaticamente pelo sistema quando houver lance ofertado nos últimos dois minutos do período de duração da sessão pública.</w:t>
      </w:r>
    </w:p>
    <w:p w14:paraId="4E8CA93E"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1</w:t>
      </w:r>
      <w:proofErr w:type="gramStart"/>
      <w:r w:rsidRPr="00B86D25">
        <w:rPr>
          <w:rFonts w:asciiTheme="minorHAnsi" w:hAnsiTheme="minorHAnsi" w:cstheme="minorHAnsi"/>
          <w:i/>
          <w:iCs/>
          <w:color w:val="000000"/>
          <w:sz w:val="20"/>
          <w:szCs w:val="20"/>
        </w:rPr>
        <w:t>º  A</w:t>
      </w:r>
      <w:proofErr w:type="gramEnd"/>
      <w:r w:rsidRPr="00B86D25">
        <w:rPr>
          <w:rFonts w:asciiTheme="minorHAnsi" w:hAnsiTheme="minorHAnsi" w:cstheme="minorHAnsi"/>
          <w:i/>
          <w:iCs/>
          <w:color w:val="000000"/>
          <w:sz w:val="20"/>
          <w:szCs w:val="20"/>
        </w:rPr>
        <w:t xml:space="preserve"> prorrogação automática da etapa de envio de lances, de que trata o </w:t>
      </w:r>
      <w:r w:rsidRPr="00B86D25">
        <w:rPr>
          <w:rFonts w:asciiTheme="minorHAnsi" w:hAnsiTheme="minorHAnsi" w:cstheme="minorHAnsi"/>
          <w:b/>
          <w:bCs/>
          <w:i/>
          <w:iCs/>
          <w:color w:val="000000"/>
          <w:sz w:val="20"/>
          <w:szCs w:val="20"/>
        </w:rPr>
        <w:t>caput</w:t>
      </w:r>
      <w:r w:rsidRPr="00B86D25">
        <w:rPr>
          <w:rFonts w:asciiTheme="minorHAnsi" w:hAnsiTheme="minorHAnsi" w:cstheme="minorHAnsi"/>
          <w:i/>
          <w:iCs/>
          <w:color w:val="000000"/>
          <w:sz w:val="20"/>
          <w:szCs w:val="20"/>
        </w:rPr>
        <w:t>, será de dois minutos e ocorrerá sucessivamente sempre que houver lances enviados nesse período de prorrogação, inclusive quando se tratar de lances intermediários.</w:t>
      </w:r>
    </w:p>
    <w:p w14:paraId="05457F07"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2</w:t>
      </w:r>
      <w:proofErr w:type="gramStart"/>
      <w:r w:rsidRPr="00B86D25">
        <w:rPr>
          <w:rFonts w:asciiTheme="minorHAnsi" w:hAnsiTheme="minorHAnsi" w:cstheme="minorHAnsi"/>
          <w:i/>
          <w:iCs/>
          <w:color w:val="000000"/>
          <w:sz w:val="20"/>
          <w:szCs w:val="20"/>
        </w:rPr>
        <w:t>º  Na</w:t>
      </w:r>
      <w:proofErr w:type="gramEnd"/>
      <w:r w:rsidRPr="00B86D25">
        <w:rPr>
          <w:rFonts w:asciiTheme="minorHAnsi" w:hAnsiTheme="minorHAnsi" w:cstheme="minorHAnsi"/>
          <w:i/>
          <w:iCs/>
          <w:color w:val="000000"/>
          <w:sz w:val="20"/>
          <w:szCs w:val="20"/>
        </w:rPr>
        <w:t xml:space="preserve"> hipótese de não haver novos lances na forma estabelecida no </w:t>
      </w:r>
      <w:r w:rsidRPr="00B86D25">
        <w:rPr>
          <w:rFonts w:asciiTheme="minorHAnsi" w:hAnsiTheme="minorHAnsi" w:cstheme="minorHAnsi"/>
          <w:b/>
          <w:bCs/>
          <w:i/>
          <w:iCs/>
          <w:color w:val="000000"/>
          <w:sz w:val="20"/>
          <w:szCs w:val="20"/>
        </w:rPr>
        <w:t>caput </w:t>
      </w:r>
      <w:r w:rsidRPr="00B86D25">
        <w:rPr>
          <w:rFonts w:asciiTheme="minorHAnsi" w:hAnsiTheme="minorHAnsi" w:cstheme="minorHAnsi"/>
          <w:i/>
          <w:iCs/>
          <w:color w:val="000000"/>
          <w:sz w:val="20"/>
          <w:szCs w:val="20"/>
        </w:rPr>
        <w:t>e no § 1º, a sessão pública será encerrada automaticamente.</w:t>
      </w:r>
    </w:p>
    <w:p w14:paraId="5626D84E"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3</w:t>
      </w:r>
      <w:proofErr w:type="gramStart"/>
      <w:r w:rsidRPr="00B86D25">
        <w:rPr>
          <w:rFonts w:asciiTheme="minorHAnsi" w:hAnsiTheme="minorHAnsi" w:cstheme="minorHAnsi"/>
          <w:i/>
          <w:iCs/>
          <w:color w:val="000000"/>
          <w:sz w:val="20"/>
          <w:szCs w:val="20"/>
        </w:rPr>
        <w:t>º  Encerrada</w:t>
      </w:r>
      <w:proofErr w:type="gramEnd"/>
      <w:r w:rsidRPr="00B86D25">
        <w:rPr>
          <w:rFonts w:asciiTheme="minorHAnsi" w:hAnsiTheme="minorHAnsi" w:cstheme="minorHAnsi"/>
          <w:i/>
          <w:iCs/>
          <w:color w:val="000000"/>
          <w:sz w:val="20"/>
          <w:szCs w:val="20"/>
        </w:rPr>
        <w:t xml:space="preserve"> a sessão pública sem prorrogação automática pelo sistema, nos termos do disposto no § 1º, o pregoeiro poderá, assessorado pela equipe de apoio, admitir o reinício da etapa de envio de lances, em prol da consecução do melhor preço disposto no parágrafo único do art. 7º, mediante justificativa.</w:t>
      </w:r>
    </w:p>
    <w:p w14:paraId="2B44FAFC"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b/>
          <w:bCs/>
          <w:i/>
          <w:iCs/>
          <w:color w:val="000000"/>
          <w:sz w:val="20"/>
          <w:szCs w:val="20"/>
        </w:rPr>
        <w:t>Modo de disputa aberto e fechado</w:t>
      </w:r>
    </w:p>
    <w:p w14:paraId="105D5670"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bookmarkStart w:id="2" w:name="art33"/>
      <w:bookmarkEnd w:id="2"/>
      <w:r w:rsidRPr="00B86D25">
        <w:rPr>
          <w:rFonts w:asciiTheme="minorHAnsi" w:hAnsiTheme="minorHAnsi" w:cstheme="minorHAnsi"/>
          <w:i/>
          <w:iCs/>
          <w:color w:val="000000"/>
          <w:sz w:val="20"/>
          <w:szCs w:val="20"/>
        </w:rPr>
        <w:t>Art. 33.  No modo de disputa aberto e fechado, de que trata o inciso II do </w:t>
      </w:r>
      <w:r w:rsidRPr="00B86D25">
        <w:rPr>
          <w:rFonts w:asciiTheme="minorHAnsi" w:hAnsiTheme="minorHAnsi" w:cstheme="minorHAnsi"/>
          <w:b/>
          <w:bCs/>
          <w:i/>
          <w:iCs/>
          <w:color w:val="000000"/>
          <w:sz w:val="20"/>
          <w:szCs w:val="20"/>
        </w:rPr>
        <w:t>caput</w:t>
      </w:r>
      <w:r w:rsidRPr="00B86D25">
        <w:rPr>
          <w:rFonts w:asciiTheme="minorHAnsi" w:hAnsiTheme="minorHAnsi" w:cstheme="minorHAnsi"/>
          <w:i/>
          <w:iCs/>
          <w:color w:val="000000"/>
          <w:sz w:val="20"/>
          <w:szCs w:val="20"/>
        </w:rPr>
        <w:t> do art. 31, a etapa de envio de lances da sessão pública terá duração de quinze minutos.</w:t>
      </w:r>
    </w:p>
    <w:p w14:paraId="67C9C5B3"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1</w:t>
      </w:r>
      <w:proofErr w:type="gramStart"/>
      <w:r w:rsidRPr="00B86D25">
        <w:rPr>
          <w:rFonts w:asciiTheme="minorHAnsi" w:hAnsiTheme="minorHAnsi" w:cstheme="minorHAnsi"/>
          <w:i/>
          <w:iCs/>
          <w:color w:val="000000"/>
          <w:sz w:val="20"/>
          <w:szCs w:val="20"/>
        </w:rPr>
        <w:t>º  Encerrado</w:t>
      </w:r>
      <w:proofErr w:type="gramEnd"/>
      <w:r w:rsidRPr="00B86D25">
        <w:rPr>
          <w:rFonts w:asciiTheme="minorHAnsi" w:hAnsiTheme="minorHAnsi" w:cstheme="minorHAnsi"/>
          <w:i/>
          <w:iCs/>
          <w:color w:val="000000"/>
          <w:sz w:val="20"/>
          <w:szCs w:val="20"/>
        </w:rPr>
        <w:t xml:space="preserve"> o prazo previsto no </w:t>
      </w:r>
      <w:r w:rsidRPr="00B86D25">
        <w:rPr>
          <w:rFonts w:asciiTheme="minorHAnsi" w:hAnsiTheme="minorHAnsi" w:cstheme="minorHAnsi"/>
          <w:b/>
          <w:bCs/>
          <w:i/>
          <w:iCs/>
          <w:color w:val="000000"/>
          <w:sz w:val="20"/>
          <w:szCs w:val="20"/>
        </w:rPr>
        <w:t>caput</w:t>
      </w:r>
      <w:r w:rsidRPr="00B86D25">
        <w:rPr>
          <w:rFonts w:asciiTheme="minorHAnsi" w:hAnsiTheme="minorHAnsi" w:cstheme="minorHAnsi"/>
          <w:i/>
          <w:iCs/>
          <w:color w:val="000000"/>
          <w:sz w:val="20"/>
          <w:szCs w:val="20"/>
        </w:rPr>
        <w:t>, o sistema encaminhará o aviso de fechamento iminente dos lances e, transcorrido o período de até dez minutos, aleatoriamente determinado, a recepção de lances será automaticamente encerrada.</w:t>
      </w:r>
    </w:p>
    <w:p w14:paraId="42B25B03"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xml:space="preserve">§ 2º  Encerrado o prazo de que trata o § 1º, o sistema abrirá a oportunidade para que o autor da oferta de valor mais baixo e os autores das ofertas com valores até dez por cento </w:t>
      </w:r>
      <w:proofErr w:type="spellStart"/>
      <w:r w:rsidRPr="00B86D25">
        <w:rPr>
          <w:rFonts w:asciiTheme="minorHAnsi" w:hAnsiTheme="minorHAnsi" w:cstheme="minorHAnsi"/>
          <w:i/>
          <w:iCs/>
          <w:color w:val="000000"/>
          <w:sz w:val="20"/>
          <w:szCs w:val="20"/>
        </w:rPr>
        <w:t>superiores</w:t>
      </w:r>
      <w:proofErr w:type="spellEnd"/>
      <w:r w:rsidRPr="00B86D25">
        <w:rPr>
          <w:rFonts w:asciiTheme="minorHAnsi" w:hAnsiTheme="minorHAnsi" w:cstheme="minorHAnsi"/>
          <w:i/>
          <w:iCs/>
          <w:color w:val="000000"/>
          <w:sz w:val="20"/>
          <w:szCs w:val="20"/>
        </w:rPr>
        <w:t xml:space="preserve"> àquela possam ofertar um lance final e fechado em até cinco minutos, que será sigiloso até o encerramento deste prazo.</w:t>
      </w:r>
    </w:p>
    <w:p w14:paraId="4F5A6D03"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3</w:t>
      </w:r>
      <w:proofErr w:type="gramStart"/>
      <w:r w:rsidRPr="00B86D25">
        <w:rPr>
          <w:rFonts w:asciiTheme="minorHAnsi" w:hAnsiTheme="minorHAnsi" w:cstheme="minorHAnsi"/>
          <w:i/>
          <w:iCs/>
          <w:color w:val="000000"/>
          <w:sz w:val="20"/>
          <w:szCs w:val="20"/>
        </w:rPr>
        <w:t>º  Na</w:t>
      </w:r>
      <w:proofErr w:type="gramEnd"/>
      <w:r w:rsidRPr="00B86D25">
        <w:rPr>
          <w:rFonts w:asciiTheme="minorHAnsi" w:hAnsiTheme="minorHAnsi" w:cstheme="minorHAnsi"/>
          <w:i/>
          <w:iCs/>
          <w:color w:val="000000"/>
          <w:sz w:val="20"/>
          <w:szCs w:val="20"/>
        </w:rPr>
        <w:t xml:space="preserve">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14:paraId="5B14EDA5"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4</w:t>
      </w:r>
      <w:proofErr w:type="gramStart"/>
      <w:r w:rsidRPr="00B86D25">
        <w:rPr>
          <w:rFonts w:asciiTheme="minorHAnsi" w:hAnsiTheme="minorHAnsi" w:cstheme="minorHAnsi"/>
          <w:i/>
          <w:iCs/>
          <w:color w:val="000000"/>
          <w:sz w:val="20"/>
          <w:szCs w:val="20"/>
        </w:rPr>
        <w:t>º  Encerrados</w:t>
      </w:r>
      <w:proofErr w:type="gramEnd"/>
      <w:r w:rsidRPr="00B86D25">
        <w:rPr>
          <w:rFonts w:asciiTheme="minorHAnsi" w:hAnsiTheme="minorHAnsi" w:cstheme="minorHAnsi"/>
          <w:i/>
          <w:iCs/>
          <w:color w:val="000000"/>
          <w:sz w:val="20"/>
          <w:szCs w:val="20"/>
        </w:rPr>
        <w:t xml:space="preserve"> os prazos estabelecidos nos § 2º e § 3º, o sistema ordenará os lances em ordem crescente de vantajosidade.</w:t>
      </w:r>
    </w:p>
    <w:p w14:paraId="4CEDBFD0" w14:textId="77777777" w:rsidR="00B86D25" w:rsidRPr="00B86D25" w:rsidRDefault="00B86D25" w:rsidP="00B86D25">
      <w:pPr>
        <w:pStyle w:val="textbody"/>
        <w:spacing w:before="0" w:beforeAutospacing="0" w:after="0" w:afterAutospacing="0"/>
        <w:ind w:left="2124"/>
        <w:jc w:val="both"/>
        <w:rPr>
          <w:rFonts w:asciiTheme="minorHAnsi" w:hAnsiTheme="minorHAnsi" w:cstheme="minorHAnsi"/>
          <w:i/>
          <w:iCs/>
          <w:color w:val="000000"/>
        </w:rPr>
      </w:pPr>
      <w:r w:rsidRPr="00B86D25">
        <w:rPr>
          <w:rFonts w:asciiTheme="minorHAnsi" w:hAnsiTheme="minorHAnsi" w:cstheme="minorHAnsi"/>
          <w:i/>
          <w:iCs/>
          <w:color w:val="000000"/>
          <w:sz w:val="20"/>
          <w:szCs w:val="20"/>
        </w:rPr>
        <w:t>§ 5º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w:t>
      </w:r>
    </w:p>
    <w:p w14:paraId="57E4657A" w14:textId="1663858A" w:rsidR="00B86D25" w:rsidRDefault="00B86D25" w:rsidP="00B86D25">
      <w:pPr>
        <w:pStyle w:val="textbody"/>
        <w:spacing w:before="0" w:beforeAutospacing="0" w:after="0" w:afterAutospacing="0"/>
        <w:ind w:left="2124"/>
        <w:jc w:val="both"/>
        <w:rPr>
          <w:rFonts w:asciiTheme="minorHAnsi" w:hAnsiTheme="minorHAnsi" w:cstheme="minorHAnsi"/>
          <w:i/>
          <w:iCs/>
          <w:color w:val="000000"/>
          <w:sz w:val="20"/>
          <w:szCs w:val="20"/>
        </w:rPr>
      </w:pPr>
      <w:r w:rsidRPr="00B86D25">
        <w:rPr>
          <w:rFonts w:asciiTheme="minorHAnsi" w:hAnsiTheme="minorHAnsi" w:cstheme="minorHAnsi"/>
          <w:i/>
          <w:iCs/>
          <w:color w:val="000000"/>
          <w:sz w:val="20"/>
          <w:szCs w:val="20"/>
        </w:rPr>
        <w:lastRenderedPageBreak/>
        <w:t>§ 6</w:t>
      </w:r>
      <w:proofErr w:type="gramStart"/>
      <w:r w:rsidRPr="00B86D25">
        <w:rPr>
          <w:rFonts w:asciiTheme="minorHAnsi" w:hAnsiTheme="minorHAnsi" w:cstheme="minorHAnsi"/>
          <w:i/>
          <w:iCs/>
          <w:color w:val="000000"/>
          <w:sz w:val="20"/>
          <w:szCs w:val="20"/>
        </w:rPr>
        <w:t>º  Na</w:t>
      </w:r>
      <w:proofErr w:type="gramEnd"/>
      <w:r w:rsidRPr="00B86D25">
        <w:rPr>
          <w:rFonts w:asciiTheme="minorHAnsi" w:hAnsiTheme="minorHAnsi" w:cstheme="minorHAnsi"/>
          <w:i/>
          <w:iCs/>
          <w:color w:val="000000"/>
          <w:sz w:val="20"/>
          <w:szCs w:val="20"/>
        </w:rPr>
        <w:t xml:space="preserve"> hipótese de não haver licitante classificado na etapa de lance fechado que atenda às exigências para habilitação, o pregoeiro poderá, auxiliado pela equipe de apoio, mediante justificativa, admitir o reinício da etapa fechada, nos termos do disposto no § 5º.</w:t>
      </w:r>
      <w:r>
        <w:rPr>
          <w:rFonts w:asciiTheme="minorHAnsi" w:hAnsiTheme="minorHAnsi" w:cstheme="minorHAnsi"/>
          <w:i/>
          <w:iCs/>
          <w:color w:val="000000"/>
          <w:sz w:val="20"/>
          <w:szCs w:val="20"/>
        </w:rPr>
        <w:t>”</w:t>
      </w:r>
    </w:p>
    <w:p w14:paraId="0306C8A4" w14:textId="77777777" w:rsidR="00B86D25" w:rsidRDefault="00B86D25" w:rsidP="00B86D25">
      <w:pPr>
        <w:pStyle w:val="textbody"/>
        <w:spacing w:before="0" w:beforeAutospacing="0" w:after="0" w:afterAutospacing="0"/>
        <w:ind w:left="2124"/>
        <w:jc w:val="both"/>
        <w:rPr>
          <w:rFonts w:asciiTheme="minorHAnsi" w:hAnsiTheme="minorHAnsi" w:cstheme="minorHAnsi"/>
          <w:i/>
          <w:iCs/>
          <w:color w:val="000000"/>
          <w:sz w:val="20"/>
          <w:szCs w:val="20"/>
        </w:rPr>
      </w:pPr>
    </w:p>
    <w:p w14:paraId="363C89DF" w14:textId="68CAC6FC" w:rsidR="00B86D25" w:rsidRPr="00B86D25" w:rsidRDefault="00B86D25" w:rsidP="00B86D25">
      <w:pPr>
        <w:pStyle w:val="textbody"/>
        <w:numPr>
          <w:ilvl w:val="1"/>
          <w:numId w:val="30"/>
        </w:numPr>
        <w:spacing w:before="0" w:beforeAutospacing="0" w:after="0" w:afterAutospacing="0" w:line="276" w:lineRule="auto"/>
        <w:jc w:val="both"/>
        <w:rPr>
          <w:rFonts w:asciiTheme="minorHAnsi" w:hAnsiTheme="minorHAnsi" w:cstheme="minorHAnsi"/>
          <w:color w:val="000000"/>
          <w:sz w:val="22"/>
          <w:szCs w:val="22"/>
        </w:rPr>
      </w:pPr>
      <w:r w:rsidRPr="00B86D25">
        <w:rPr>
          <w:rFonts w:asciiTheme="minorHAnsi" w:hAnsiTheme="minorHAnsi" w:cstheme="minorHAnsi"/>
          <w:color w:val="000000"/>
          <w:sz w:val="22"/>
          <w:szCs w:val="22"/>
        </w:rPr>
        <w:t>Após analisar os itens a serem licitados, os prováveis quantitativos de fornecedores com essa Linha de fornecimento, esta Equipe de Planejamento decidiu por estabelecer a m</w:t>
      </w:r>
      <w:r>
        <w:rPr>
          <w:rFonts w:asciiTheme="minorHAnsi" w:hAnsiTheme="minorHAnsi" w:cstheme="minorHAnsi"/>
          <w:color w:val="000000"/>
          <w:sz w:val="22"/>
          <w:szCs w:val="22"/>
        </w:rPr>
        <w:t>odo de Disputa</w:t>
      </w:r>
      <w:r w:rsidRPr="00B86D25">
        <w:rPr>
          <w:rFonts w:asciiTheme="minorHAnsi" w:hAnsiTheme="minorHAnsi" w:cstheme="minorHAnsi"/>
          <w:color w:val="000000"/>
          <w:sz w:val="22"/>
          <w:szCs w:val="22"/>
        </w:rPr>
        <w:t xml:space="preserve"> do Pregão Eletrônico, conforme detalhado no Anexo I-A.</w:t>
      </w:r>
    </w:p>
    <w:p w14:paraId="5FC9D53E" w14:textId="77777777" w:rsidR="00B86D25" w:rsidRPr="00B86D25" w:rsidRDefault="00B86D25" w:rsidP="00B86D25">
      <w:pPr>
        <w:suppressAutoHyphens w:val="0"/>
        <w:spacing w:before="120" w:after="120" w:line="276" w:lineRule="auto"/>
        <w:ind w:right="-15"/>
        <w:jc w:val="both"/>
        <w:rPr>
          <w:rFonts w:asciiTheme="minorHAnsi" w:hAnsiTheme="minorHAnsi" w:cstheme="minorHAnsi"/>
          <w:sz w:val="22"/>
          <w:szCs w:val="22"/>
        </w:rPr>
      </w:pPr>
    </w:p>
    <w:p w14:paraId="136A8DE3" w14:textId="576BEF30" w:rsidR="00E2733A" w:rsidRPr="00A40924" w:rsidRDefault="00E2733A" w:rsidP="00E2733A">
      <w:pPr>
        <w:pStyle w:val="PargrafodaLista"/>
        <w:numPr>
          <w:ilvl w:val="0"/>
          <w:numId w:val="30"/>
        </w:numPr>
        <w:spacing w:after="120" w:line="276" w:lineRule="auto"/>
        <w:ind w:right="-15"/>
        <w:jc w:val="both"/>
        <w:rPr>
          <w:rFonts w:asciiTheme="minorHAnsi" w:hAnsiTheme="minorHAnsi" w:cstheme="minorHAnsi"/>
          <w:b/>
          <w:bCs/>
          <w:sz w:val="22"/>
          <w:szCs w:val="22"/>
        </w:rPr>
      </w:pPr>
      <w:r w:rsidRPr="00A40924">
        <w:rPr>
          <w:rFonts w:asciiTheme="minorHAnsi" w:hAnsiTheme="minorHAnsi" w:cstheme="minorHAnsi"/>
          <w:b/>
          <w:bCs/>
          <w:sz w:val="22"/>
          <w:szCs w:val="22"/>
        </w:rPr>
        <w:t>ANÁLISE DE RISCO DA CONTRATAÇÃO</w:t>
      </w:r>
    </w:p>
    <w:p w14:paraId="62C3F295" w14:textId="77777777" w:rsidR="00E2733A" w:rsidRPr="00A40924" w:rsidRDefault="00E2733A" w:rsidP="00E2733A">
      <w:pPr>
        <w:pStyle w:val="PargrafodaLista"/>
        <w:spacing w:after="120" w:line="276" w:lineRule="auto"/>
        <w:ind w:right="-15"/>
        <w:jc w:val="both"/>
        <w:rPr>
          <w:rFonts w:asciiTheme="minorHAnsi" w:hAnsiTheme="minorHAnsi" w:cstheme="minorHAnsi"/>
          <w:b/>
          <w:bCs/>
          <w:sz w:val="22"/>
          <w:szCs w:val="22"/>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620"/>
        <w:gridCol w:w="880"/>
        <w:gridCol w:w="3031"/>
        <w:gridCol w:w="2717"/>
      </w:tblGrid>
      <w:tr w:rsidR="00E2733A" w:rsidRPr="00A40924" w14:paraId="3EBC30E5" w14:textId="77777777" w:rsidTr="00D158EA">
        <w:trPr>
          <w:trHeight w:val="356"/>
        </w:trPr>
        <w:tc>
          <w:tcPr>
            <w:tcW w:w="1548"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394F3BF0" w14:textId="77777777" w:rsidR="00E2733A" w:rsidRPr="00A40924" w:rsidRDefault="00E2733A" w:rsidP="00D158EA">
            <w:pPr>
              <w:pStyle w:val="TableParagraph"/>
              <w:ind w:left="494"/>
              <w:rPr>
                <w:rFonts w:asciiTheme="minorHAnsi" w:hAnsiTheme="minorHAnsi" w:cs="Arial"/>
                <w:b/>
              </w:rPr>
            </w:pPr>
            <w:r w:rsidRPr="00A40924">
              <w:rPr>
                <w:rFonts w:asciiTheme="minorHAnsi" w:hAnsiTheme="minorHAnsi" w:cs="Arial"/>
                <w:b/>
              </w:rPr>
              <w:t>Risco 1</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vAlign w:val="center"/>
          </w:tcPr>
          <w:p w14:paraId="2FBB47BF" w14:textId="77777777" w:rsidR="00E2733A" w:rsidRPr="00A40924" w:rsidRDefault="00E2733A" w:rsidP="00D158EA">
            <w:pPr>
              <w:pStyle w:val="TableParagraph"/>
              <w:rPr>
                <w:rFonts w:asciiTheme="minorHAnsi" w:hAnsiTheme="minorHAnsi" w:cs="Arial"/>
                <w:b/>
              </w:rPr>
            </w:pPr>
            <w:r w:rsidRPr="00A40924">
              <w:rPr>
                <w:rFonts w:asciiTheme="minorHAnsi" w:hAnsiTheme="minorHAnsi" w:cs="Arial"/>
                <w:b/>
              </w:rPr>
              <w:t>Deficiência na definição da demanda</w:t>
            </w:r>
          </w:p>
        </w:tc>
      </w:tr>
      <w:tr w:rsidR="00E2733A" w:rsidRPr="00A40924" w14:paraId="7DA24AFF" w14:textId="77777777" w:rsidTr="00D158E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54AC981B" w14:textId="77777777" w:rsidR="00E2733A" w:rsidRPr="00A40924" w:rsidRDefault="00E2733A" w:rsidP="00D158EA">
            <w:pPr>
              <w:pStyle w:val="TableParagraph"/>
              <w:ind w:left="132"/>
              <w:rPr>
                <w:rFonts w:asciiTheme="minorHAnsi" w:hAnsiTheme="minorHAnsi" w:cs="Arial"/>
                <w:b/>
              </w:rPr>
            </w:pPr>
            <w:r w:rsidRPr="00A40924">
              <w:rPr>
                <w:rFonts w:asciiTheme="minorHAnsi" w:hAnsiTheme="minorHAnsi" w:cs="Arial"/>
                <w:b/>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vAlign w:val="center"/>
          </w:tcPr>
          <w:p w14:paraId="7C54389E" w14:textId="77777777" w:rsidR="00E2733A" w:rsidRPr="00A40924" w:rsidRDefault="00E2733A" w:rsidP="00D158EA">
            <w:pPr>
              <w:pStyle w:val="TableParagraph"/>
              <w:ind w:left="98"/>
              <w:rPr>
                <w:rFonts w:asciiTheme="minorHAnsi" w:hAnsiTheme="minorHAnsi" w:cs="Arial"/>
              </w:rPr>
            </w:pPr>
            <w:r w:rsidRPr="00A40924">
              <w:rPr>
                <w:rFonts w:asciiTheme="minorHAnsi" w:hAnsiTheme="minorHAnsi" w:cs="Arial"/>
              </w:rPr>
              <w:t>Média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tcPr>
          <w:p w14:paraId="460D0C6B" w14:textId="77777777" w:rsidR="00E2733A" w:rsidRPr="00A40924" w:rsidRDefault="00E2733A" w:rsidP="00D158EA">
            <w:pPr>
              <w:pStyle w:val="TableParagraph"/>
              <w:ind w:left="2023" w:right="2020"/>
              <w:rPr>
                <w:rFonts w:asciiTheme="minorHAnsi" w:hAnsiTheme="minorHAnsi" w:cs="Arial"/>
                <w:b/>
              </w:rPr>
            </w:pPr>
            <w:r w:rsidRPr="00A40924">
              <w:rPr>
                <w:rFonts w:asciiTheme="minorHAnsi" w:hAnsiTheme="minorHAnsi" w:cs="Arial"/>
                <w:b/>
              </w:rPr>
              <w:t>Dano potencial</w:t>
            </w:r>
          </w:p>
        </w:tc>
      </w:tr>
      <w:tr w:rsidR="00E2733A" w:rsidRPr="00A40924" w14:paraId="565B8794" w14:textId="77777777" w:rsidTr="00D158EA">
        <w:trPr>
          <w:trHeight w:val="338"/>
        </w:trPr>
        <w:tc>
          <w:tcPr>
            <w:tcW w:w="1548"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56240894" w14:textId="77777777" w:rsidR="00E2733A" w:rsidRPr="00A40924" w:rsidRDefault="00E2733A" w:rsidP="00D158EA">
            <w:pPr>
              <w:rPr>
                <w:rFonts w:asciiTheme="minorHAnsi" w:hAnsiTheme="minorHAnsi" w:cs="Arial"/>
                <w:sz w:val="22"/>
                <w:szCs w:val="22"/>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vAlign w:val="center"/>
          </w:tcPr>
          <w:p w14:paraId="3F69FDFE" w14:textId="77777777" w:rsidR="00E2733A" w:rsidRPr="00A40924" w:rsidRDefault="00E2733A" w:rsidP="00D158EA">
            <w:pPr>
              <w:rPr>
                <w:rFonts w:asciiTheme="minorHAnsi" w:hAnsiTheme="minorHAnsi" w:cs="Arial"/>
                <w:sz w:val="22"/>
                <w:szCs w:val="22"/>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6041C626" w14:textId="77777777" w:rsidR="00E2733A" w:rsidRPr="00A40924" w:rsidRDefault="00E2733A" w:rsidP="00D158EA">
            <w:pPr>
              <w:pStyle w:val="western"/>
              <w:spacing w:beforeAutospacing="0" w:after="0" w:line="276" w:lineRule="auto"/>
              <w:rPr>
                <w:rFonts w:asciiTheme="minorHAnsi" w:hAnsiTheme="minorHAnsi" w:cs="Arial"/>
                <w:sz w:val="22"/>
                <w:szCs w:val="22"/>
              </w:rPr>
            </w:pPr>
            <w:r w:rsidRPr="00A40924">
              <w:rPr>
                <w:rFonts w:asciiTheme="minorHAnsi" w:hAnsiTheme="minorHAnsi" w:cs="Arial"/>
                <w:sz w:val="22"/>
                <w:szCs w:val="22"/>
              </w:rPr>
              <w:t>Superdimensionamento ou subdimensionamento da demanda</w:t>
            </w:r>
          </w:p>
        </w:tc>
      </w:tr>
      <w:tr w:rsidR="00E2733A" w:rsidRPr="00A40924" w14:paraId="6170C989" w14:textId="77777777" w:rsidTr="00D158E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106D2890" w14:textId="77777777" w:rsidR="00E2733A" w:rsidRPr="00A40924" w:rsidRDefault="00E2733A" w:rsidP="00D158EA">
            <w:pPr>
              <w:pStyle w:val="TableParagraph"/>
              <w:rPr>
                <w:rFonts w:asciiTheme="minorHAnsi" w:hAnsiTheme="minorHAnsi" w:cs="Arial"/>
                <w:b/>
              </w:rPr>
            </w:pPr>
            <w:r w:rsidRPr="00A40924">
              <w:rPr>
                <w:rFonts w:asciiTheme="minorHAnsi" w:hAnsiTheme="minorHAnsi" w:cs="Arial"/>
                <w:b/>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46B9D016" w14:textId="77777777" w:rsidR="00E2733A" w:rsidRPr="00A40924" w:rsidRDefault="00E2733A" w:rsidP="00D158EA">
            <w:pPr>
              <w:pStyle w:val="TableParagraph"/>
              <w:ind w:right="204"/>
              <w:rPr>
                <w:rFonts w:asciiTheme="minorHAnsi" w:hAnsiTheme="minorHAnsi" w:cs="Arial"/>
                <w:b/>
              </w:rPr>
            </w:pPr>
            <w:r w:rsidRPr="00A40924">
              <w:rPr>
                <w:rFonts w:asciiTheme="minorHAnsi" w:hAnsiTheme="minorHAnsi" w:cs="Arial"/>
                <w:b/>
              </w:rPr>
              <w:t>Responsável</w:t>
            </w:r>
          </w:p>
        </w:tc>
      </w:tr>
      <w:tr w:rsidR="00E2733A" w:rsidRPr="00A40924" w14:paraId="09649617" w14:textId="77777777" w:rsidTr="00D158EA">
        <w:trPr>
          <w:trHeight w:val="52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3EF07C0A" w14:textId="77777777" w:rsidR="00E2733A" w:rsidRPr="00A40924" w:rsidRDefault="00E2733A" w:rsidP="00D158EA">
            <w:pPr>
              <w:pStyle w:val="western"/>
              <w:spacing w:beforeAutospacing="0" w:after="0" w:line="276" w:lineRule="auto"/>
              <w:rPr>
                <w:rFonts w:asciiTheme="minorHAnsi" w:hAnsiTheme="minorHAnsi" w:cs="Arial"/>
                <w:sz w:val="22"/>
                <w:szCs w:val="22"/>
              </w:rPr>
            </w:pPr>
            <w:r w:rsidRPr="00A40924">
              <w:rPr>
                <w:rFonts w:asciiTheme="minorHAnsi" w:hAnsiTheme="minorHAnsi" w:cs="Arial"/>
                <w:sz w:val="22"/>
                <w:szCs w:val="22"/>
              </w:rPr>
              <w:t>Qualificação da equipe de planejamento; conhecimento do escopo.</w:t>
            </w:r>
          </w:p>
        </w:tc>
        <w:tc>
          <w:tcPr>
            <w:tcW w:w="277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AD35B5C" w14:textId="77777777" w:rsidR="00E2733A" w:rsidRPr="00A40924" w:rsidRDefault="00E2733A" w:rsidP="00D158EA">
            <w:pPr>
              <w:pStyle w:val="TableParagraph"/>
              <w:ind w:left="104" w:right="98"/>
              <w:jc w:val="center"/>
              <w:rPr>
                <w:rFonts w:asciiTheme="minorHAnsi" w:hAnsiTheme="minorHAnsi" w:cs="Arial"/>
              </w:rPr>
            </w:pPr>
            <w:r w:rsidRPr="00A40924">
              <w:rPr>
                <w:rFonts w:asciiTheme="minorHAnsi" w:hAnsiTheme="minorHAnsi" w:cs="Arial"/>
              </w:rPr>
              <w:t>Equipe de Planejamento da Contratação</w:t>
            </w:r>
          </w:p>
        </w:tc>
      </w:tr>
      <w:tr w:rsidR="00E2733A" w:rsidRPr="00A40924" w14:paraId="698C42BE" w14:textId="77777777" w:rsidTr="00D158E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72DEB6A3" w14:textId="77777777" w:rsidR="00E2733A" w:rsidRPr="00A40924" w:rsidRDefault="00E2733A" w:rsidP="00D158EA">
            <w:pPr>
              <w:pStyle w:val="TableParagraph"/>
              <w:rPr>
                <w:rFonts w:asciiTheme="minorHAnsi" w:hAnsiTheme="minorHAnsi" w:cs="Arial"/>
                <w:b/>
              </w:rPr>
            </w:pPr>
            <w:r w:rsidRPr="00A40924">
              <w:rPr>
                <w:rFonts w:asciiTheme="minorHAnsi" w:hAnsiTheme="minorHAnsi" w:cs="Arial"/>
                <w:b/>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65117397" w14:textId="77777777" w:rsidR="00E2733A" w:rsidRPr="00A40924" w:rsidRDefault="00E2733A" w:rsidP="00D158EA">
            <w:pPr>
              <w:pStyle w:val="TableParagraph"/>
              <w:ind w:right="204"/>
              <w:rPr>
                <w:rFonts w:asciiTheme="minorHAnsi" w:hAnsiTheme="minorHAnsi" w:cs="Arial"/>
                <w:b/>
              </w:rPr>
            </w:pPr>
            <w:r w:rsidRPr="00A40924">
              <w:rPr>
                <w:rFonts w:asciiTheme="minorHAnsi" w:hAnsiTheme="minorHAnsi" w:cs="Arial"/>
                <w:b/>
              </w:rPr>
              <w:t>Responsável</w:t>
            </w:r>
          </w:p>
        </w:tc>
      </w:tr>
      <w:tr w:rsidR="00E2733A" w:rsidRPr="00A40924" w14:paraId="251FF6EB" w14:textId="77777777" w:rsidTr="00D158EA">
        <w:trPr>
          <w:trHeight w:val="31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44E95986" w14:textId="77777777" w:rsidR="00E2733A" w:rsidRPr="00A40924" w:rsidRDefault="00E2733A" w:rsidP="00D158EA">
            <w:pPr>
              <w:pStyle w:val="TableParagraph"/>
              <w:ind w:left="70"/>
              <w:rPr>
                <w:rFonts w:asciiTheme="minorHAnsi" w:hAnsiTheme="minorHAnsi" w:cs="Arial"/>
              </w:rPr>
            </w:pPr>
            <w:r w:rsidRPr="00A40924">
              <w:rPr>
                <w:rFonts w:asciiTheme="minorHAnsi" w:hAnsiTheme="minorHAnsi" w:cs="Arial"/>
              </w:rPr>
              <w:t>Restabelecimento da demanda</w:t>
            </w:r>
          </w:p>
        </w:tc>
        <w:tc>
          <w:tcPr>
            <w:tcW w:w="277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71C561A" w14:textId="77777777" w:rsidR="00E2733A" w:rsidRPr="00A40924" w:rsidRDefault="00E2733A" w:rsidP="00D158EA">
            <w:pPr>
              <w:pStyle w:val="TableParagraph"/>
              <w:ind w:left="412" w:right="295" w:hanging="90"/>
              <w:jc w:val="center"/>
              <w:rPr>
                <w:rFonts w:asciiTheme="minorHAnsi" w:hAnsiTheme="minorHAnsi" w:cs="Arial"/>
              </w:rPr>
            </w:pPr>
            <w:r w:rsidRPr="00A40924">
              <w:rPr>
                <w:rFonts w:asciiTheme="minorHAnsi" w:hAnsiTheme="minorHAnsi" w:cs="Arial"/>
              </w:rPr>
              <w:t>Equipe de Planejamento da Contratação</w:t>
            </w:r>
          </w:p>
        </w:tc>
      </w:tr>
    </w:tbl>
    <w:p w14:paraId="757915A5" w14:textId="020844C7" w:rsidR="00E2733A" w:rsidRPr="00A40924" w:rsidRDefault="00E2733A" w:rsidP="00E2733A">
      <w:pPr>
        <w:spacing w:after="120" w:line="276" w:lineRule="auto"/>
        <w:ind w:left="360" w:right="-15"/>
        <w:jc w:val="both"/>
        <w:rPr>
          <w:rFonts w:asciiTheme="minorHAnsi" w:hAnsiTheme="minorHAnsi" w:cstheme="minorHAnsi"/>
          <w:sz w:val="22"/>
          <w:szCs w:val="22"/>
        </w:rPr>
      </w:pPr>
    </w:p>
    <w:p w14:paraId="12432AA3" w14:textId="35C7665E" w:rsidR="00E2733A" w:rsidRPr="00A40924" w:rsidRDefault="00E2733A" w:rsidP="00E2733A">
      <w:pPr>
        <w:spacing w:after="120" w:line="276" w:lineRule="auto"/>
        <w:ind w:left="360" w:right="-15"/>
        <w:jc w:val="both"/>
        <w:rPr>
          <w:rFonts w:asciiTheme="minorHAnsi" w:hAnsiTheme="minorHAnsi" w:cstheme="minorHAnsi"/>
          <w:sz w:val="22"/>
          <w:szCs w:val="22"/>
        </w:rPr>
      </w:pPr>
    </w:p>
    <w:p w14:paraId="3DAEE2A4" w14:textId="77777777" w:rsidR="00E2733A" w:rsidRPr="00A40924" w:rsidRDefault="00E2733A" w:rsidP="00E2733A">
      <w:pPr>
        <w:spacing w:after="120" w:line="276" w:lineRule="auto"/>
        <w:ind w:left="360" w:right="-15"/>
        <w:jc w:val="both"/>
        <w:rPr>
          <w:rFonts w:asciiTheme="minorHAnsi" w:hAnsiTheme="minorHAnsi" w:cstheme="minorHAnsi"/>
          <w:sz w:val="22"/>
          <w:szCs w:val="22"/>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681"/>
        <w:gridCol w:w="787"/>
        <w:gridCol w:w="3138"/>
        <w:gridCol w:w="2642"/>
      </w:tblGrid>
      <w:tr w:rsidR="00E2733A" w:rsidRPr="00A40924" w14:paraId="6463D4ED" w14:textId="77777777" w:rsidTr="00D158EA">
        <w:trPr>
          <w:trHeight w:val="356"/>
        </w:trPr>
        <w:tc>
          <w:tcPr>
            <w:tcW w:w="1548"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B3D9C34" w14:textId="77777777" w:rsidR="00E2733A" w:rsidRPr="00A40924" w:rsidRDefault="00E2733A" w:rsidP="00D158EA">
            <w:pPr>
              <w:pStyle w:val="TableParagraph"/>
              <w:ind w:left="494"/>
              <w:rPr>
                <w:rFonts w:asciiTheme="minorHAnsi" w:hAnsiTheme="minorHAnsi" w:cs="Arial"/>
                <w:b/>
              </w:rPr>
            </w:pPr>
            <w:r w:rsidRPr="00A40924">
              <w:rPr>
                <w:rFonts w:asciiTheme="minorHAnsi" w:hAnsiTheme="minorHAnsi" w:cs="Arial"/>
                <w:b/>
              </w:rPr>
              <w:t>Risco 2</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459E4903" w14:textId="77777777" w:rsidR="00E2733A" w:rsidRPr="00A40924" w:rsidRDefault="00E2733A" w:rsidP="00D158EA">
            <w:pPr>
              <w:pStyle w:val="TableParagraph"/>
              <w:ind w:left="70"/>
              <w:jc w:val="center"/>
              <w:rPr>
                <w:rFonts w:asciiTheme="minorHAnsi" w:hAnsiTheme="minorHAnsi" w:cs="Arial"/>
              </w:rPr>
            </w:pPr>
            <w:proofErr w:type="spellStart"/>
            <w:r w:rsidRPr="00A40924">
              <w:rPr>
                <w:rFonts w:asciiTheme="minorHAnsi" w:hAnsiTheme="minorHAnsi" w:cs="Arial"/>
              </w:rPr>
              <w:t>Não</w:t>
            </w:r>
            <w:proofErr w:type="spellEnd"/>
            <w:r w:rsidRPr="00A40924">
              <w:rPr>
                <w:rFonts w:asciiTheme="minorHAnsi" w:hAnsiTheme="minorHAnsi" w:cs="Arial"/>
              </w:rPr>
              <w:t xml:space="preserve"> aprovação do Estudo Técnico </w:t>
            </w:r>
            <w:proofErr w:type="spellStart"/>
            <w:r w:rsidRPr="00A40924">
              <w:rPr>
                <w:rFonts w:asciiTheme="minorHAnsi" w:hAnsiTheme="minorHAnsi" w:cs="Arial"/>
              </w:rPr>
              <w:t>ou</w:t>
            </w:r>
            <w:proofErr w:type="spellEnd"/>
            <w:r w:rsidRPr="00A40924">
              <w:rPr>
                <w:rFonts w:asciiTheme="minorHAnsi" w:hAnsiTheme="minorHAnsi" w:cs="Arial"/>
              </w:rPr>
              <w:t xml:space="preserve"> do Termo de </w:t>
            </w:r>
            <w:proofErr w:type="spellStart"/>
            <w:r w:rsidRPr="00A40924">
              <w:rPr>
                <w:rFonts w:asciiTheme="minorHAnsi" w:hAnsiTheme="minorHAnsi" w:cs="Arial"/>
              </w:rPr>
              <w:t>Referência</w:t>
            </w:r>
            <w:proofErr w:type="spellEnd"/>
            <w:r w:rsidRPr="00A40924">
              <w:rPr>
                <w:rFonts w:asciiTheme="minorHAnsi" w:hAnsiTheme="minorHAnsi" w:cs="Arial"/>
              </w:rPr>
              <w:t>.</w:t>
            </w:r>
          </w:p>
        </w:tc>
      </w:tr>
      <w:tr w:rsidR="00E2733A" w:rsidRPr="00A40924" w14:paraId="080ACE8A" w14:textId="77777777" w:rsidTr="00D158E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4EC63F5" w14:textId="77777777" w:rsidR="00E2733A" w:rsidRPr="00A40924" w:rsidRDefault="00E2733A" w:rsidP="00D158EA">
            <w:pPr>
              <w:pStyle w:val="TableParagraph"/>
              <w:rPr>
                <w:rFonts w:asciiTheme="minorHAnsi" w:hAnsiTheme="minorHAnsi" w:cs="Arial"/>
                <w:b/>
              </w:rPr>
            </w:pPr>
          </w:p>
          <w:p w14:paraId="5BC3A25E" w14:textId="77777777" w:rsidR="00E2733A" w:rsidRPr="00A40924" w:rsidRDefault="00E2733A" w:rsidP="00D158EA">
            <w:pPr>
              <w:pStyle w:val="TableParagraph"/>
              <w:ind w:left="132"/>
              <w:rPr>
                <w:rFonts w:asciiTheme="minorHAnsi" w:hAnsiTheme="minorHAnsi" w:cs="Arial"/>
                <w:b/>
              </w:rPr>
            </w:pPr>
            <w:r w:rsidRPr="00A40924">
              <w:rPr>
                <w:rFonts w:asciiTheme="minorHAnsi" w:hAnsiTheme="minorHAnsi" w:cs="Arial"/>
                <w:b/>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7B38CD5B" w14:textId="77777777" w:rsidR="00E2733A" w:rsidRPr="00A40924" w:rsidRDefault="00E2733A" w:rsidP="00D158EA">
            <w:pPr>
              <w:pStyle w:val="TableParagraph"/>
              <w:rPr>
                <w:rFonts w:asciiTheme="minorHAnsi" w:hAnsiTheme="minorHAnsi" w:cs="Arial"/>
                <w:b/>
              </w:rPr>
            </w:pPr>
          </w:p>
          <w:p w14:paraId="4D2B1AC3" w14:textId="77777777" w:rsidR="00E2733A" w:rsidRPr="00A40924" w:rsidRDefault="00E2733A" w:rsidP="00D158EA">
            <w:pPr>
              <w:pStyle w:val="TableParagraph"/>
              <w:ind w:left="98"/>
              <w:rPr>
                <w:rFonts w:asciiTheme="minorHAnsi" w:hAnsiTheme="minorHAnsi" w:cs="Arial"/>
              </w:rPr>
            </w:pPr>
            <w:r w:rsidRPr="00A40924">
              <w:rPr>
                <w:rFonts w:asciiTheme="minorHAnsi" w:hAnsiTheme="minorHAnsi" w:cs="Arial"/>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09AE8AAD" w14:textId="77777777" w:rsidR="00E2733A" w:rsidRPr="00A40924" w:rsidRDefault="00E2733A" w:rsidP="00D158EA">
            <w:pPr>
              <w:pStyle w:val="TableParagraph"/>
              <w:ind w:left="2023" w:right="2020"/>
              <w:jc w:val="center"/>
              <w:rPr>
                <w:rFonts w:asciiTheme="minorHAnsi" w:hAnsiTheme="minorHAnsi" w:cs="Arial"/>
                <w:b/>
              </w:rPr>
            </w:pPr>
            <w:r w:rsidRPr="00A40924">
              <w:rPr>
                <w:rFonts w:asciiTheme="minorHAnsi" w:hAnsiTheme="minorHAnsi" w:cs="Arial"/>
                <w:b/>
              </w:rPr>
              <w:t>Dano potencial</w:t>
            </w:r>
          </w:p>
        </w:tc>
      </w:tr>
      <w:tr w:rsidR="00E2733A" w:rsidRPr="00A40924" w14:paraId="79957A9A" w14:textId="77777777" w:rsidTr="00D158EA">
        <w:trPr>
          <w:trHeight w:val="424"/>
        </w:trPr>
        <w:tc>
          <w:tcPr>
            <w:tcW w:w="1548"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1A246BF" w14:textId="77777777" w:rsidR="00E2733A" w:rsidRPr="00A40924" w:rsidRDefault="00E2733A" w:rsidP="00D158EA">
            <w:pPr>
              <w:rPr>
                <w:rFonts w:asciiTheme="minorHAnsi" w:hAnsiTheme="minorHAnsi" w:cs="Arial"/>
                <w:sz w:val="22"/>
                <w:szCs w:val="22"/>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6980D338" w14:textId="77777777" w:rsidR="00E2733A" w:rsidRPr="00A40924" w:rsidRDefault="00E2733A" w:rsidP="00D158EA">
            <w:pPr>
              <w:rPr>
                <w:rFonts w:asciiTheme="minorHAnsi" w:hAnsiTheme="minorHAnsi" w:cs="Arial"/>
                <w:sz w:val="22"/>
                <w:szCs w:val="22"/>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0E33F047" w14:textId="77777777" w:rsidR="00E2733A" w:rsidRPr="00A40924" w:rsidRDefault="00E2733A" w:rsidP="00D158EA">
            <w:pPr>
              <w:pStyle w:val="TableParagraph"/>
              <w:ind w:left="70"/>
              <w:rPr>
                <w:rFonts w:asciiTheme="minorHAnsi" w:hAnsiTheme="minorHAnsi" w:cs="Arial"/>
              </w:rPr>
            </w:pPr>
            <w:r w:rsidRPr="00A40924">
              <w:rPr>
                <w:rFonts w:asciiTheme="minorHAnsi" w:hAnsiTheme="minorHAnsi" w:cs="Arial"/>
              </w:rPr>
              <w:t>Atraso no processo de contratação e, consequentemente, atraso no início da prestação do serviço.</w:t>
            </w:r>
          </w:p>
        </w:tc>
      </w:tr>
      <w:tr w:rsidR="00E2733A" w:rsidRPr="00A40924" w14:paraId="1447B5A1" w14:textId="77777777" w:rsidTr="00D158E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68D6997" w14:textId="77777777" w:rsidR="00E2733A" w:rsidRPr="00A40924" w:rsidRDefault="00E2733A" w:rsidP="00D158EA">
            <w:pPr>
              <w:pStyle w:val="TableParagraph"/>
              <w:ind w:left="2195" w:right="2190"/>
              <w:jc w:val="center"/>
              <w:rPr>
                <w:rFonts w:asciiTheme="minorHAnsi" w:hAnsiTheme="minorHAnsi" w:cs="Arial"/>
                <w:b/>
              </w:rPr>
            </w:pPr>
            <w:r w:rsidRPr="00A40924">
              <w:rPr>
                <w:rFonts w:asciiTheme="minorHAnsi" w:hAnsiTheme="minorHAnsi" w:cs="Arial"/>
                <w:b/>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2A18CB9B" w14:textId="77777777" w:rsidR="00E2733A" w:rsidRPr="00A40924" w:rsidRDefault="00E2733A" w:rsidP="00D158EA">
            <w:pPr>
              <w:pStyle w:val="TableParagraph"/>
              <w:ind w:right="204"/>
              <w:jc w:val="center"/>
              <w:rPr>
                <w:rFonts w:asciiTheme="minorHAnsi" w:hAnsiTheme="minorHAnsi" w:cs="Arial"/>
                <w:b/>
              </w:rPr>
            </w:pPr>
            <w:r w:rsidRPr="00A40924">
              <w:rPr>
                <w:rFonts w:asciiTheme="minorHAnsi" w:hAnsiTheme="minorHAnsi" w:cs="Arial"/>
                <w:b/>
              </w:rPr>
              <w:t>Responsável</w:t>
            </w:r>
          </w:p>
        </w:tc>
      </w:tr>
      <w:tr w:rsidR="00E2733A" w:rsidRPr="00A40924" w14:paraId="15689B75" w14:textId="77777777" w:rsidTr="00D158EA">
        <w:trPr>
          <w:trHeight w:val="55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E0F9D6F" w14:textId="77777777" w:rsidR="00E2733A" w:rsidRPr="00A40924" w:rsidRDefault="00E2733A" w:rsidP="00D158EA">
            <w:pPr>
              <w:pStyle w:val="TableParagraph"/>
              <w:ind w:left="70" w:right="71"/>
              <w:jc w:val="both"/>
              <w:rPr>
                <w:rFonts w:asciiTheme="minorHAnsi" w:hAnsiTheme="minorHAnsi" w:cs="Arial"/>
              </w:rPr>
            </w:pPr>
            <w:r w:rsidRPr="00A40924">
              <w:rPr>
                <w:rFonts w:asciiTheme="minorHAnsi" w:hAnsiTheme="minorHAnsi" w:cs="Arial"/>
              </w:rPr>
              <w:t xml:space="preserve">Instruir o Estudo Técnico e o </w:t>
            </w:r>
            <w:r w:rsidRPr="00A40924">
              <w:rPr>
                <w:rFonts w:asciiTheme="minorHAnsi" w:hAnsiTheme="minorHAnsi" w:cs="Arial"/>
                <w:spacing w:val="-4"/>
              </w:rPr>
              <w:t xml:space="preserve">Termo </w:t>
            </w:r>
            <w:r w:rsidRPr="00A40924">
              <w:rPr>
                <w:rFonts w:asciiTheme="minorHAnsi" w:hAnsiTheme="minorHAnsi" w:cs="Arial"/>
              </w:rPr>
              <w:t xml:space="preserve">de </w:t>
            </w:r>
            <w:proofErr w:type="spellStart"/>
            <w:r w:rsidRPr="00A40924">
              <w:rPr>
                <w:rFonts w:asciiTheme="minorHAnsi" w:hAnsiTheme="minorHAnsi" w:cs="Arial"/>
              </w:rPr>
              <w:t>Referência</w:t>
            </w:r>
            <w:proofErr w:type="spellEnd"/>
            <w:r w:rsidRPr="00A40924">
              <w:rPr>
                <w:rFonts w:asciiTheme="minorHAnsi" w:hAnsiTheme="minorHAnsi" w:cs="Arial"/>
              </w:rPr>
              <w:t xml:space="preserve"> em estrita aderência </w:t>
            </w:r>
            <w:proofErr w:type="spellStart"/>
            <w:r w:rsidRPr="00A40924">
              <w:rPr>
                <w:rFonts w:asciiTheme="minorHAnsi" w:hAnsiTheme="minorHAnsi" w:cs="Arial"/>
              </w:rPr>
              <w:t>às</w:t>
            </w:r>
            <w:proofErr w:type="spellEnd"/>
            <w:r w:rsidRPr="00A40924">
              <w:rPr>
                <w:rFonts w:asciiTheme="minorHAnsi" w:hAnsiTheme="minorHAnsi" w:cs="Arial"/>
              </w:rPr>
              <w:t xml:space="preserve"> disposições dos normativos aplicados à contratação.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58176ACA" w14:textId="77777777" w:rsidR="00E2733A" w:rsidRPr="00A40924" w:rsidRDefault="00E2733A" w:rsidP="00D158EA">
            <w:pPr>
              <w:pStyle w:val="TableParagraph"/>
              <w:ind w:left="104" w:right="98"/>
              <w:jc w:val="center"/>
              <w:rPr>
                <w:rFonts w:asciiTheme="minorHAnsi" w:hAnsiTheme="minorHAnsi" w:cs="Arial"/>
              </w:rPr>
            </w:pPr>
            <w:r w:rsidRPr="00A40924">
              <w:rPr>
                <w:rFonts w:asciiTheme="minorHAnsi" w:hAnsiTheme="minorHAnsi" w:cs="Arial"/>
              </w:rPr>
              <w:t>Equipe de Planejamento da Contratação</w:t>
            </w:r>
          </w:p>
        </w:tc>
      </w:tr>
      <w:tr w:rsidR="00E2733A" w:rsidRPr="00A40924" w14:paraId="0F33CA1B" w14:textId="77777777" w:rsidTr="00D158E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9208356" w14:textId="77777777" w:rsidR="00E2733A" w:rsidRPr="00A40924" w:rsidRDefault="00E2733A" w:rsidP="00D158EA">
            <w:pPr>
              <w:pStyle w:val="TableParagraph"/>
              <w:ind w:right="567"/>
              <w:jc w:val="center"/>
              <w:rPr>
                <w:rFonts w:asciiTheme="minorHAnsi" w:hAnsiTheme="minorHAnsi" w:cs="Arial"/>
                <w:b/>
              </w:rPr>
            </w:pPr>
            <w:r w:rsidRPr="00A40924">
              <w:rPr>
                <w:rFonts w:asciiTheme="minorHAnsi" w:hAnsiTheme="minorHAnsi" w:cs="Arial"/>
                <w:b/>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1F5B5E0D" w14:textId="77777777" w:rsidR="00E2733A" w:rsidRPr="00A40924" w:rsidRDefault="00E2733A" w:rsidP="00D158EA">
            <w:pPr>
              <w:pStyle w:val="TableParagraph"/>
              <w:ind w:right="204"/>
              <w:jc w:val="center"/>
              <w:rPr>
                <w:rFonts w:asciiTheme="minorHAnsi" w:hAnsiTheme="minorHAnsi" w:cs="Arial"/>
                <w:b/>
              </w:rPr>
            </w:pPr>
            <w:r w:rsidRPr="00A40924">
              <w:rPr>
                <w:rFonts w:asciiTheme="minorHAnsi" w:hAnsiTheme="minorHAnsi" w:cs="Arial"/>
                <w:b/>
              </w:rPr>
              <w:t>Responsável</w:t>
            </w:r>
          </w:p>
        </w:tc>
      </w:tr>
      <w:tr w:rsidR="00E2733A" w:rsidRPr="00A40924" w14:paraId="6F684AEB" w14:textId="77777777" w:rsidTr="00D158EA">
        <w:trPr>
          <w:trHeight w:val="31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50DD15D2" w14:textId="04923C09" w:rsidR="00E2733A" w:rsidRPr="00A40924" w:rsidRDefault="00E2733A" w:rsidP="00D158EA">
            <w:pPr>
              <w:pStyle w:val="TableParagraph"/>
              <w:ind w:left="70"/>
              <w:jc w:val="both"/>
              <w:rPr>
                <w:rFonts w:asciiTheme="minorHAnsi" w:hAnsiTheme="minorHAnsi" w:cs="Arial"/>
              </w:rPr>
            </w:pPr>
            <w:r w:rsidRPr="00A40924">
              <w:rPr>
                <w:rFonts w:asciiTheme="minorHAnsi" w:hAnsiTheme="minorHAnsi" w:cs="Arial"/>
              </w:rPr>
              <w:t xml:space="preserve">Exposição do arcabouço legal em que </w:t>
            </w:r>
            <w:proofErr w:type="gramStart"/>
            <w:r w:rsidRPr="00A40924">
              <w:rPr>
                <w:rFonts w:asciiTheme="minorHAnsi" w:hAnsiTheme="minorHAnsi" w:cs="Arial"/>
              </w:rPr>
              <w:t>a</w:t>
            </w:r>
            <w:proofErr w:type="gramEnd"/>
            <w:r w:rsidRPr="00A40924">
              <w:rPr>
                <w:rFonts w:asciiTheme="minorHAnsi" w:hAnsiTheme="minorHAnsi" w:cs="Arial"/>
              </w:rPr>
              <w:t xml:space="preserve"> aquisição deva seguir.</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4C9AF2FA" w14:textId="77777777" w:rsidR="00E2733A" w:rsidRPr="00A40924" w:rsidRDefault="00E2733A" w:rsidP="00D158EA">
            <w:pPr>
              <w:pStyle w:val="TableParagraph"/>
              <w:ind w:left="412" w:right="295" w:hanging="90"/>
              <w:jc w:val="center"/>
              <w:rPr>
                <w:rFonts w:asciiTheme="minorHAnsi" w:hAnsiTheme="minorHAnsi" w:cs="Arial"/>
              </w:rPr>
            </w:pPr>
            <w:r w:rsidRPr="00A40924">
              <w:rPr>
                <w:rFonts w:asciiTheme="minorHAnsi" w:hAnsiTheme="minorHAnsi" w:cs="Arial"/>
              </w:rPr>
              <w:t>Equipe de Planejamento da Contratação</w:t>
            </w:r>
          </w:p>
        </w:tc>
      </w:tr>
    </w:tbl>
    <w:p w14:paraId="4092F3EE" w14:textId="77777777" w:rsidR="00E2733A" w:rsidRPr="00A40924" w:rsidRDefault="00E2733A" w:rsidP="00E2733A">
      <w:pPr>
        <w:spacing w:after="120" w:line="276" w:lineRule="auto"/>
        <w:ind w:left="360" w:right="-15"/>
        <w:jc w:val="both"/>
        <w:rPr>
          <w:rFonts w:asciiTheme="minorHAnsi" w:hAnsiTheme="minorHAnsi" w:cstheme="minorHAnsi"/>
          <w:sz w:val="22"/>
          <w:szCs w:val="22"/>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620"/>
        <w:gridCol w:w="787"/>
        <w:gridCol w:w="3112"/>
        <w:gridCol w:w="2729"/>
      </w:tblGrid>
      <w:tr w:rsidR="00E2733A" w:rsidRPr="00A40924" w14:paraId="78CBDBAA" w14:textId="77777777" w:rsidTr="00D158EA">
        <w:trPr>
          <w:trHeight w:val="448"/>
        </w:trPr>
        <w:tc>
          <w:tcPr>
            <w:tcW w:w="1548"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3897847" w14:textId="77777777" w:rsidR="00E2733A" w:rsidRPr="00A40924" w:rsidRDefault="00E2733A" w:rsidP="00D158EA">
            <w:pPr>
              <w:pStyle w:val="TableParagraph"/>
              <w:ind w:left="494"/>
              <w:rPr>
                <w:rFonts w:asciiTheme="minorHAnsi" w:hAnsiTheme="minorHAnsi" w:cs="Arial"/>
                <w:b/>
              </w:rPr>
            </w:pPr>
            <w:r w:rsidRPr="00A40924">
              <w:rPr>
                <w:rFonts w:asciiTheme="minorHAnsi" w:hAnsiTheme="minorHAnsi" w:cs="Arial"/>
                <w:b/>
              </w:rPr>
              <w:t>Risco 3</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0BD801DB" w14:textId="77777777" w:rsidR="00E2733A" w:rsidRPr="00A40924" w:rsidRDefault="00E2733A" w:rsidP="00D158EA">
            <w:pPr>
              <w:pStyle w:val="western"/>
              <w:spacing w:beforeAutospacing="0" w:after="0" w:line="276" w:lineRule="auto"/>
              <w:jc w:val="center"/>
              <w:rPr>
                <w:rFonts w:asciiTheme="minorHAnsi" w:hAnsiTheme="minorHAnsi" w:cs="Arial"/>
                <w:b/>
                <w:color w:val="00000A"/>
                <w:sz w:val="22"/>
                <w:szCs w:val="22"/>
              </w:rPr>
            </w:pPr>
            <w:r w:rsidRPr="00A40924">
              <w:rPr>
                <w:rFonts w:asciiTheme="minorHAnsi" w:hAnsiTheme="minorHAnsi" w:cs="Arial"/>
                <w:sz w:val="22"/>
                <w:szCs w:val="22"/>
              </w:rPr>
              <w:t>Deficiências do ato convocatório; critérios de julgamento, prazos e sanções, entre outros.</w:t>
            </w:r>
          </w:p>
        </w:tc>
      </w:tr>
      <w:tr w:rsidR="00E2733A" w:rsidRPr="00A40924" w14:paraId="1F385E93" w14:textId="77777777" w:rsidTr="00D158E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FB6EFEF" w14:textId="77777777" w:rsidR="00E2733A" w:rsidRPr="00A40924" w:rsidRDefault="00E2733A" w:rsidP="00D158EA">
            <w:pPr>
              <w:pStyle w:val="TableParagraph"/>
              <w:ind w:left="132"/>
              <w:rPr>
                <w:rFonts w:asciiTheme="minorHAnsi" w:hAnsiTheme="minorHAnsi" w:cs="Arial"/>
                <w:b/>
              </w:rPr>
            </w:pPr>
            <w:r w:rsidRPr="00A40924">
              <w:rPr>
                <w:rFonts w:asciiTheme="minorHAnsi" w:hAnsiTheme="minorHAnsi" w:cs="Arial"/>
                <w:b/>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681F824F" w14:textId="77777777" w:rsidR="00E2733A" w:rsidRPr="00A40924" w:rsidRDefault="00E2733A" w:rsidP="00D158EA">
            <w:pPr>
              <w:pStyle w:val="TableParagraph"/>
              <w:ind w:left="98"/>
              <w:rPr>
                <w:rFonts w:asciiTheme="minorHAnsi" w:hAnsiTheme="minorHAnsi" w:cs="Arial"/>
              </w:rPr>
            </w:pPr>
            <w:r w:rsidRPr="00A40924">
              <w:rPr>
                <w:rFonts w:asciiTheme="minorHAnsi" w:hAnsiTheme="minorHAnsi" w:cs="Arial"/>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1BD6EC6A" w14:textId="77777777" w:rsidR="00E2733A" w:rsidRPr="00A40924" w:rsidRDefault="00E2733A" w:rsidP="00D158EA">
            <w:pPr>
              <w:pStyle w:val="TableParagraph"/>
              <w:ind w:left="2023" w:right="2020"/>
              <w:jc w:val="center"/>
              <w:rPr>
                <w:rFonts w:asciiTheme="minorHAnsi" w:hAnsiTheme="minorHAnsi" w:cs="Arial"/>
                <w:b/>
              </w:rPr>
            </w:pPr>
            <w:r w:rsidRPr="00A40924">
              <w:rPr>
                <w:rFonts w:asciiTheme="minorHAnsi" w:hAnsiTheme="minorHAnsi" w:cs="Arial"/>
                <w:b/>
              </w:rPr>
              <w:t>Dano potencial</w:t>
            </w:r>
          </w:p>
        </w:tc>
      </w:tr>
      <w:tr w:rsidR="00E2733A" w:rsidRPr="00A40924" w14:paraId="7D58F76C" w14:textId="77777777" w:rsidTr="00D158EA">
        <w:trPr>
          <w:trHeight w:val="338"/>
        </w:trPr>
        <w:tc>
          <w:tcPr>
            <w:tcW w:w="1548"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090EC7E" w14:textId="77777777" w:rsidR="00E2733A" w:rsidRPr="00A40924" w:rsidRDefault="00E2733A" w:rsidP="00D158EA">
            <w:pPr>
              <w:rPr>
                <w:rFonts w:asciiTheme="minorHAnsi" w:hAnsiTheme="minorHAnsi" w:cs="Arial"/>
                <w:sz w:val="22"/>
                <w:szCs w:val="22"/>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62CD755D" w14:textId="77777777" w:rsidR="00E2733A" w:rsidRPr="00A40924" w:rsidRDefault="00E2733A" w:rsidP="00D158EA">
            <w:pPr>
              <w:rPr>
                <w:rFonts w:asciiTheme="minorHAnsi" w:hAnsiTheme="minorHAnsi" w:cs="Arial"/>
                <w:sz w:val="22"/>
                <w:szCs w:val="22"/>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7F1C5795" w14:textId="77777777" w:rsidR="00E2733A" w:rsidRPr="00A40924" w:rsidRDefault="00E2733A" w:rsidP="00D158EA">
            <w:pPr>
              <w:pStyle w:val="western"/>
              <w:spacing w:beforeAutospacing="0" w:after="0" w:line="276" w:lineRule="auto"/>
              <w:jc w:val="center"/>
              <w:rPr>
                <w:rFonts w:asciiTheme="minorHAnsi" w:hAnsiTheme="minorHAnsi" w:cs="Arial"/>
                <w:sz w:val="22"/>
                <w:szCs w:val="22"/>
              </w:rPr>
            </w:pPr>
            <w:r w:rsidRPr="00A40924">
              <w:rPr>
                <w:rFonts w:asciiTheme="minorHAnsi" w:hAnsiTheme="minorHAnsi" w:cs="Arial"/>
                <w:sz w:val="22"/>
                <w:szCs w:val="22"/>
              </w:rPr>
              <w:t>Encerramento da Licitação.</w:t>
            </w:r>
          </w:p>
        </w:tc>
      </w:tr>
      <w:tr w:rsidR="00E2733A" w:rsidRPr="00A40924" w14:paraId="556E6FEB" w14:textId="77777777" w:rsidTr="00D158E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918D3A8" w14:textId="77777777" w:rsidR="00E2733A" w:rsidRPr="00A40924" w:rsidRDefault="00E2733A" w:rsidP="00D158EA">
            <w:pPr>
              <w:pStyle w:val="TableParagraph"/>
              <w:jc w:val="center"/>
              <w:rPr>
                <w:rFonts w:asciiTheme="minorHAnsi" w:hAnsiTheme="minorHAnsi" w:cs="Arial"/>
                <w:b/>
              </w:rPr>
            </w:pPr>
            <w:r w:rsidRPr="00A40924">
              <w:rPr>
                <w:rFonts w:asciiTheme="minorHAnsi" w:hAnsiTheme="minorHAnsi" w:cs="Arial"/>
                <w:b/>
              </w:rPr>
              <w:lastRenderedPageBreak/>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287CC3C0" w14:textId="77777777" w:rsidR="00E2733A" w:rsidRPr="00A40924" w:rsidRDefault="00E2733A" w:rsidP="00D158EA">
            <w:pPr>
              <w:pStyle w:val="TableParagraph"/>
              <w:ind w:right="204"/>
              <w:jc w:val="center"/>
              <w:rPr>
                <w:rFonts w:asciiTheme="minorHAnsi" w:hAnsiTheme="minorHAnsi" w:cs="Arial"/>
                <w:b/>
              </w:rPr>
            </w:pPr>
            <w:r w:rsidRPr="00A40924">
              <w:rPr>
                <w:rFonts w:asciiTheme="minorHAnsi" w:hAnsiTheme="minorHAnsi" w:cs="Arial"/>
                <w:b/>
              </w:rPr>
              <w:t>Responsável</w:t>
            </w:r>
          </w:p>
        </w:tc>
      </w:tr>
      <w:tr w:rsidR="00E2733A" w:rsidRPr="00A40924" w14:paraId="7AE8A280" w14:textId="77777777" w:rsidTr="00D158EA">
        <w:trPr>
          <w:trHeight w:val="590"/>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08C87C0A" w14:textId="77777777" w:rsidR="00E2733A" w:rsidRPr="00A40924" w:rsidRDefault="00E2733A" w:rsidP="00D158EA">
            <w:pPr>
              <w:pStyle w:val="western"/>
              <w:spacing w:beforeAutospacing="0" w:after="0" w:line="276" w:lineRule="auto"/>
              <w:rPr>
                <w:rFonts w:asciiTheme="minorHAnsi" w:hAnsiTheme="minorHAnsi" w:cs="Arial"/>
                <w:sz w:val="22"/>
                <w:szCs w:val="22"/>
              </w:rPr>
            </w:pPr>
            <w:r w:rsidRPr="00A40924">
              <w:rPr>
                <w:rFonts w:asciiTheme="minorHAnsi" w:hAnsiTheme="minorHAnsi" w:cs="Arial"/>
                <w:sz w:val="22"/>
                <w:szCs w:val="22"/>
              </w:rPr>
              <w:t xml:space="preserve">Capacitação de servidores; incorporar as atualizações da legislação (acórdãos TCU); </w:t>
            </w:r>
            <w:proofErr w:type="gramStart"/>
            <w:r w:rsidRPr="00A40924">
              <w:rPr>
                <w:rFonts w:asciiTheme="minorHAnsi" w:hAnsiTheme="minorHAnsi" w:cs="Arial"/>
                <w:sz w:val="22"/>
                <w:szCs w:val="22"/>
              </w:rPr>
              <w:t>Estabelecer</w:t>
            </w:r>
            <w:proofErr w:type="gramEnd"/>
            <w:r w:rsidRPr="00A40924">
              <w:rPr>
                <w:rFonts w:asciiTheme="minorHAnsi" w:hAnsiTheme="minorHAnsi" w:cs="Arial"/>
                <w:sz w:val="22"/>
                <w:szCs w:val="22"/>
              </w:rPr>
              <w:t xml:space="preserve"> rotinas de revisão.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0E4B542B" w14:textId="77777777" w:rsidR="00E2733A" w:rsidRPr="00A40924" w:rsidRDefault="00E2733A" w:rsidP="00D158EA">
            <w:pPr>
              <w:pStyle w:val="TableParagraph"/>
              <w:ind w:left="104" w:right="98"/>
              <w:jc w:val="center"/>
              <w:rPr>
                <w:rFonts w:asciiTheme="minorHAnsi" w:hAnsiTheme="minorHAnsi" w:cs="Arial"/>
              </w:rPr>
            </w:pPr>
            <w:r w:rsidRPr="00A40924">
              <w:rPr>
                <w:rFonts w:asciiTheme="minorHAnsi" w:hAnsiTheme="minorHAnsi" w:cs="Arial"/>
              </w:rPr>
              <w:t>Equipe de Licitação</w:t>
            </w:r>
          </w:p>
        </w:tc>
      </w:tr>
      <w:tr w:rsidR="00E2733A" w:rsidRPr="00A40924" w14:paraId="6A393EFC" w14:textId="77777777" w:rsidTr="00D158E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9AF0122" w14:textId="77777777" w:rsidR="00E2733A" w:rsidRPr="00A40924" w:rsidRDefault="00E2733A" w:rsidP="00D158EA">
            <w:pPr>
              <w:pStyle w:val="TableParagraph"/>
              <w:jc w:val="center"/>
              <w:rPr>
                <w:rFonts w:asciiTheme="minorHAnsi" w:hAnsiTheme="minorHAnsi" w:cs="Arial"/>
                <w:b/>
              </w:rPr>
            </w:pPr>
            <w:r w:rsidRPr="00A40924">
              <w:rPr>
                <w:rFonts w:asciiTheme="minorHAnsi" w:hAnsiTheme="minorHAnsi" w:cs="Arial"/>
                <w:b/>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59CB6046" w14:textId="77777777" w:rsidR="00E2733A" w:rsidRPr="00A40924" w:rsidRDefault="00E2733A" w:rsidP="00D158EA">
            <w:pPr>
              <w:pStyle w:val="TableParagraph"/>
              <w:ind w:right="204"/>
              <w:jc w:val="center"/>
              <w:rPr>
                <w:rFonts w:asciiTheme="minorHAnsi" w:hAnsiTheme="minorHAnsi" w:cs="Arial"/>
                <w:b/>
              </w:rPr>
            </w:pPr>
            <w:r w:rsidRPr="00A40924">
              <w:rPr>
                <w:rFonts w:asciiTheme="minorHAnsi" w:hAnsiTheme="minorHAnsi" w:cs="Arial"/>
                <w:b/>
              </w:rPr>
              <w:t>Responsável</w:t>
            </w:r>
          </w:p>
        </w:tc>
      </w:tr>
      <w:tr w:rsidR="00E2733A" w:rsidRPr="00A40924" w14:paraId="3A0C7CD5" w14:textId="77777777" w:rsidTr="00D158EA">
        <w:trPr>
          <w:trHeight w:val="31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3132366B" w14:textId="77777777" w:rsidR="00E2733A" w:rsidRPr="00A40924" w:rsidRDefault="00E2733A" w:rsidP="00D158EA">
            <w:pPr>
              <w:pStyle w:val="TableParagraph"/>
              <w:ind w:left="70"/>
              <w:jc w:val="center"/>
              <w:rPr>
                <w:rFonts w:asciiTheme="minorHAnsi" w:hAnsiTheme="minorHAnsi" w:cs="Arial"/>
              </w:rPr>
            </w:pPr>
            <w:r w:rsidRPr="00A40924">
              <w:rPr>
                <w:rFonts w:asciiTheme="minorHAnsi" w:hAnsiTheme="minorHAnsi" w:cs="Arial"/>
              </w:rPr>
              <w:t>Suspensão da licitação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6E5E7DC9" w14:textId="77777777" w:rsidR="00E2733A" w:rsidRPr="00A40924" w:rsidRDefault="00E2733A" w:rsidP="00D158EA">
            <w:pPr>
              <w:pStyle w:val="TableParagraph"/>
              <w:ind w:left="412" w:right="295" w:hanging="90"/>
              <w:jc w:val="center"/>
              <w:rPr>
                <w:rFonts w:asciiTheme="minorHAnsi" w:hAnsiTheme="minorHAnsi" w:cs="Arial"/>
              </w:rPr>
            </w:pPr>
            <w:r w:rsidRPr="00A40924">
              <w:rPr>
                <w:rFonts w:asciiTheme="minorHAnsi" w:hAnsiTheme="minorHAnsi" w:cs="Arial"/>
              </w:rPr>
              <w:t>Equipe de Licitação</w:t>
            </w:r>
          </w:p>
        </w:tc>
      </w:tr>
    </w:tbl>
    <w:p w14:paraId="59960D8C" w14:textId="2ECA37C9" w:rsidR="00E2733A" w:rsidRPr="00A40924" w:rsidRDefault="00E2733A" w:rsidP="00E2733A">
      <w:pPr>
        <w:spacing w:after="120" w:line="276" w:lineRule="auto"/>
        <w:ind w:left="360" w:right="-15"/>
        <w:jc w:val="both"/>
        <w:rPr>
          <w:rFonts w:asciiTheme="minorHAnsi" w:hAnsiTheme="minorHAnsi" w:cstheme="minorHAnsi"/>
          <w:sz w:val="22"/>
          <w:szCs w:val="22"/>
        </w:rPr>
      </w:pPr>
    </w:p>
    <w:p w14:paraId="79AAE429" w14:textId="7F0A2A0D" w:rsidR="00A40924" w:rsidRPr="00A40924" w:rsidRDefault="00A40924" w:rsidP="00A40924">
      <w:pPr>
        <w:pStyle w:val="TableParagraph"/>
        <w:numPr>
          <w:ilvl w:val="0"/>
          <w:numId w:val="30"/>
        </w:numPr>
        <w:spacing w:before="41"/>
        <w:rPr>
          <w:rFonts w:asciiTheme="minorHAnsi" w:hAnsiTheme="minorHAnsi" w:cs="Arial"/>
          <w:b/>
          <w:lang w:val="pt-BR"/>
        </w:rPr>
      </w:pPr>
      <w:r w:rsidRPr="00A40924">
        <w:rPr>
          <w:rFonts w:asciiTheme="minorHAnsi" w:hAnsiTheme="minorHAnsi" w:cs="Arial"/>
          <w:b/>
          <w:lang w:val="pt-BR"/>
        </w:rPr>
        <w:t>VIABILIDADE DA CONTRATAÇÃO</w:t>
      </w:r>
    </w:p>
    <w:p w14:paraId="1ECAE46D" w14:textId="36DBFC9F" w:rsidR="00E2733A" w:rsidRPr="00A40924" w:rsidRDefault="00E2733A" w:rsidP="00A40924">
      <w:pPr>
        <w:spacing w:after="120" w:line="276" w:lineRule="auto"/>
        <w:ind w:left="360" w:right="-15"/>
        <w:jc w:val="both"/>
        <w:rPr>
          <w:rFonts w:asciiTheme="minorHAnsi" w:hAnsiTheme="minorHAnsi" w:cstheme="minorHAnsi"/>
          <w:sz w:val="22"/>
          <w:szCs w:val="22"/>
        </w:rPr>
      </w:pPr>
    </w:p>
    <w:p w14:paraId="6A22EC85" w14:textId="24E55384" w:rsidR="00A40924" w:rsidRPr="00A40924" w:rsidRDefault="00A40924" w:rsidP="00A40924">
      <w:pPr>
        <w:pStyle w:val="TableParagraph"/>
        <w:numPr>
          <w:ilvl w:val="1"/>
          <w:numId w:val="30"/>
        </w:numPr>
        <w:spacing w:before="41"/>
        <w:jc w:val="both"/>
        <w:rPr>
          <w:rFonts w:asciiTheme="minorHAnsi" w:hAnsiTheme="minorHAnsi" w:cstheme="minorHAnsi"/>
          <w:lang w:val="pt-BR" w:eastAsia="pt-BR"/>
        </w:rPr>
      </w:pPr>
      <w:r w:rsidRPr="00A40924">
        <w:rPr>
          <w:rFonts w:asciiTheme="minorHAnsi" w:hAnsiTheme="minorHAnsi" w:cstheme="minorHAnsi"/>
          <w:lang w:val="pt-BR" w:eastAsia="pt-BR"/>
        </w:rPr>
        <w:t xml:space="preserve">Tendo em vista a existência de fornecedores dos materiais relacionados, com base na Pesquisa de Preços, declara esta </w:t>
      </w:r>
      <w:r w:rsidR="001D3599">
        <w:rPr>
          <w:rFonts w:asciiTheme="minorHAnsi" w:hAnsiTheme="minorHAnsi" w:cstheme="minorHAnsi"/>
          <w:lang w:val="pt-BR" w:eastAsia="pt-BR"/>
        </w:rPr>
        <w:t>Equipe de Planejamento</w:t>
      </w:r>
      <w:r w:rsidRPr="00A40924">
        <w:rPr>
          <w:rFonts w:asciiTheme="minorHAnsi" w:hAnsiTheme="minorHAnsi" w:cstheme="minorHAnsi"/>
          <w:lang w:val="pt-BR" w:eastAsia="pt-BR"/>
        </w:rPr>
        <w:t>, que a contratação pretendida é viável e indispensável ao funcionamento da UFF.</w:t>
      </w:r>
    </w:p>
    <w:p w14:paraId="58D88EDE" w14:textId="77777777" w:rsidR="00A40924" w:rsidRPr="00A40924" w:rsidRDefault="00A40924" w:rsidP="00A40924">
      <w:pPr>
        <w:pStyle w:val="TableParagraph"/>
        <w:spacing w:before="41"/>
        <w:ind w:left="0" w:firstLine="851"/>
        <w:jc w:val="both"/>
        <w:rPr>
          <w:rFonts w:asciiTheme="minorHAnsi" w:hAnsiTheme="minorHAnsi" w:cs="Arial"/>
          <w:lang w:val="pt-BR"/>
        </w:rPr>
      </w:pPr>
    </w:p>
    <w:p w14:paraId="06EDD1B7" w14:textId="14BACCBA" w:rsidR="00A40924" w:rsidRPr="00942975" w:rsidRDefault="00A40924" w:rsidP="00A40924">
      <w:pPr>
        <w:spacing w:before="120" w:after="120"/>
        <w:ind w:right="-81" w:firstLine="1620"/>
        <w:jc w:val="center"/>
        <w:rPr>
          <w:rFonts w:asciiTheme="minorHAnsi" w:hAnsiTheme="minorHAnsi" w:cstheme="minorHAnsi"/>
          <w:sz w:val="22"/>
          <w:szCs w:val="22"/>
        </w:rPr>
      </w:pPr>
      <w:r w:rsidRPr="00942975">
        <w:rPr>
          <w:rFonts w:asciiTheme="minorHAnsi" w:hAnsiTheme="minorHAnsi" w:cstheme="minorHAnsi"/>
          <w:sz w:val="22"/>
          <w:szCs w:val="22"/>
        </w:rPr>
        <w:t xml:space="preserve">Niterói, </w:t>
      </w:r>
      <w:r w:rsidR="00942975" w:rsidRPr="00942975">
        <w:rPr>
          <w:rFonts w:asciiTheme="minorHAnsi" w:hAnsiTheme="minorHAnsi" w:cstheme="minorHAnsi"/>
          <w:sz w:val="22"/>
          <w:szCs w:val="22"/>
        </w:rPr>
        <w:t>28</w:t>
      </w:r>
      <w:r w:rsidRPr="00942975">
        <w:rPr>
          <w:rFonts w:asciiTheme="minorHAnsi" w:hAnsiTheme="minorHAnsi" w:cstheme="minorHAnsi"/>
          <w:sz w:val="22"/>
          <w:szCs w:val="22"/>
        </w:rPr>
        <w:t xml:space="preserve"> de novembro de 2019. </w:t>
      </w:r>
    </w:p>
    <w:p w14:paraId="56B5B7C1" w14:textId="14574BAC" w:rsidR="00A40924" w:rsidRPr="00A40924" w:rsidRDefault="00A40924" w:rsidP="00A40924">
      <w:pPr>
        <w:spacing w:before="120" w:after="120"/>
        <w:ind w:right="-81" w:firstLine="1620"/>
        <w:jc w:val="center"/>
        <w:rPr>
          <w:rFonts w:asciiTheme="minorHAnsi" w:hAnsiTheme="minorHAnsi" w:cstheme="minorHAnsi"/>
          <w:sz w:val="22"/>
          <w:szCs w:val="22"/>
        </w:rPr>
      </w:pPr>
    </w:p>
    <w:tbl>
      <w:tblPr>
        <w:tblW w:w="9195" w:type="dxa"/>
        <w:tblInd w:w="710" w:type="dxa"/>
        <w:tblLayout w:type="fixed"/>
        <w:tblLook w:val="0000" w:firstRow="0" w:lastRow="0" w:firstColumn="0" w:lastColumn="0" w:noHBand="0" w:noVBand="0"/>
      </w:tblPr>
      <w:tblGrid>
        <w:gridCol w:w="4597"/>
        <w:gridCol w:w="4598"/>
      </w:tblGrid>
      <w:tr w:rsidR="000A1621" w:rsidRPr="00155ADB" w14:paraId="7B8D5EAC" w14:textId="77777777" w:rsidTr="000136C8">
        <w:tc>
          <w:tcPr>
            <w:tcW w:w="4597" w:type="dxa"/>
            <w:shd w:val="clear" w:color="auto" w:fill="FFFFFF"/>
          </w:tcPr>
          <w:p w14:paraId="5C1856D7" w14:textId="77777777" w:rsidR="000A1621" w:rsidRPr="00155ADB" w:rsidRDefault="000A1621" w:rsidP="000136C8">
            <w:pPr>
              <w:pStyle w:val="Recuodecorpodetexto"/>
              <w:tabs>
                <w:tab w:val="left" w:pos="709"/>
              </w:tabs>
              <w:ind w:left="709" w:right="-1" w:hanging="709"/>
              <w:jc w:val="center"/>
              <w:rPr>
                <w:rFonts w:asciiTheme="minorHAnsi" w:hAnsiTheme="minorHAnsi" w:cstheme="minorHAnsi"/>
              </w:rPr>
            </w:pPr>
            <w:r w:rsidRPr="00155ADB">
              <w:rPr>
                <w:rFonts w:asciiTheme="minorHAnsi" w:hAnsiTheme="minorHAnsi" w:cstheme="minorHAnsi"/>
                <w:sz w:val="22"/>
                <w:szCs w:val="22"/>
              </w:rPr>
              <w:t xml:space="preserve">Representante Técnico </w:t>
            </w:r>
          </w:p>
          <w:p w14:paraId="2CC851F8" w14:textId="77777777" w:rsidR="000A1621" w:rsidRPr="00155ADB" w:rsidRDefault="000A1621" w:rsidP="000136C8">
            <w:pPr>
              <w:pStyle w:val="Recuodecorpodetexto"/>
              <w:tabs>
                <w:tab w:val="left" w:pos="709"/>
              </w:tabs>
              <w:ind w:left="709" w:right="-1" w:hanging="709"/>
              <w:jc w:val="center"/>
              <w:rPr>
                <w:rFonts w:asciiTheme="minorHAnsi" w:hAnsiTheme="minorHAnsi" w:cstheme="minorHAnsi"/>
                <w:sz w:val="22"/>
                <w:szCs w:val="22"/>
              </w:rPr>
            </w:pPr>
          </w:p>
          <w:p w14:paraId="1BFD6519" w14:textId="77777777" w:rsidR="000A1621" w:rsidRPr="00155ADB" w:rsidRDefault="000A1621" w:rsidP="000136C8">
            <w:pPr>
              <w:pStyle w:val="Recuodecorpodetexto"/>
              <w:tabs>
                <w:tab w:val="left" w:pos="709"/>
              </w:tabs>
              <w:spacing w:line="240" w:lineRule="auto"/>
              <w:ind w:left="709" w:right="-1" w:hanging="709"/>
              <w:jc w:val="center"/>
              <w:rPr>
                <w:rFonts w:asciiTheme="minorHAnsi" w:hAnsiTheme="minorHAnsi" w:cstheme="minorHAnsi"/>
              </w:rPr>
            </w:pPr>
            <w:r w:rsidRPr="00155ADB">
              <w:rPr>
                <w:rFonts w:asciiTheme="minorHAnsi" w:hAnsiTheme="minorHAnsi" w:cstheme="minorHAnsi"/>
                <w:sz w:val="22"/>
                <w:szCs w:val="22"/>
              </w:rPr>
              <w:t>-------------------------------------</w:t>
            </w:r>
          </w:p>
          <w:p w14:paraId="631C26ED" w14:textId="77777777" w:rsidR="000A1621" w:rsidRPr="00155ADB" w:rsidRDefault="000A1621" w:rsidP="000136C8">
            <w:pPr>
              <w:pStyle w:val="Recuodecorpodetexto"/>
              <w:tabs>
                <w:tab w:val="left" w:pos="709"/>
              </w:tabs>
              <w:spacing w:line="240" w:lineRule="auto"/>
              <w:ind w:left="709" w:right="-1" w:hanging="709"/>
              <w:jc w:val="center"/>
              <w:rPr>
                <w:rFonts w:asciiTheme="minorHAnsi" w:hAnsiTheme="minorHAnsi" w:cstheme="minorHAnsi"/>
              </w:rPr>
            </w:pPr>
            <w:r w:rsidRPr="00155ADB">
              <w:rPr>
                <w:rFonts w:asciiTheme="minorHAnsi" w:hAnsiTheme="minorHAnsi" w:cstheme="minorHAnsi"/>
                <w:sz w:val="22"/>
                <w:szCs w:val="22"/>
              </w:rPr>
              <w:t>Douglas Nunes de Paula</w:t>
            </w:r>
          </w:p>
          <w:p w14:paraId="323766A9" w14:textId="77777777" w:rsidR="000A1621" w:rsidRDefault="00942975" w:rsidP="000136C8">
            <w:pPr>
              <w:pStyle w:val="Recuodecorpodetexto"/>
              <w:tabs>
                <w:tab w:val="left" w:pos="709"/>
              </w:tabs>
              <w:spacing w:line="240" w:lineRule="auto"/>
              <w:ind w:left="709" w:right="-1" w:hanging="709"/>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sidR="000A1621" w:rsidRPr="00155ADB">
              <w:rPr>
                <w:rFonts w:asciiTheme="minorHAnsi" w:hAnsiTheme="minorHAnsi" w:cstheme="minorHAnsi"/>
                <w:sz w:val="22"/>
                <w:szCs w:val="22"/>
              </w:rPr>
              <w:t xml:space="preserve"> 1660114</w:t>
            </w:r>
          </w:p>
          <w:p w14:paraId="4A0E50CD" w14:textId="266FEFEC" w:rsidR="00942975" w:rsidRPr="00155ADB" w:rsidRDefault="00942975" w:rsidP="000136C8">
            <w:pPr>
              <w:pStyle w:val="Recuodecorpodetexto"/>
              <w:tabs>
                <w:tab w:val="left" w:pos="709"/>
              </w:tabs>
              <w:spacing w:line="240" w:lineRule="auto"/>
              <w:ind w:left="709" w:right="-1" w:hanging="709"/>
              <w:jc w:val="center"/>
              <w:rPr>
                <w:rFonts w:asciiTheme="minorHAnsi" w:hAnsiTheme="minorHAnsi" w:cstheme="minorHAnsi"/>
              </w:rPr>
            </w:pPr>
            <w:r>
              <w:rPr>
                <w:rFonts w:asciiTheme="minorHAnsi" w:hAnsiTheme="minorHAnsi" w:cstheme="minorHAnsi"/>
                <w:sz w:val="22"/>
                <w:szCs w:val="22"/>
              </w:rPr>
              <w:t>STI</w:t>
            </w:r>
          </w:p>
        </w:tc>
        <w:tc>
          <w:tcPr>
            <w:tcW w:w="4598" w:type="dxa"/>
            <w:shd w:val="clear" w:color="auto" w:fill="FFFFFF"/>
          </w:tcPr>
          <w:p w14:paraId="223EA83C" w14:textId="77777777" w:rsidR="000A1621" w:rsidRPr="00155ADB" w:rsidRDefault="000A1621" w:rsidP="000136C8">
            <w:pPr>
              <w:pStyle w:val="Recuodecorpodetexto"/>
              <w:tabs>
                <w:tab w:val="left" w:pos="709"/>
              </w:tabs>
              <w:ind w:right="-1"/>
              <w:jc w:val="center"/>
              <w:rPr>
                <w:rFonts w:asciiTheme="minorHAnsi" w:hAnsiTheme="minorHAnsi" w:cstheme="minorHAnsi"/>
              </w:rPr>
            </w:pPr>
            <w:r w:rsidRPr="00155ADB">
              <w:rPr>
                <w:rFonts w:asciiTheme="minorHAnsi" w:hAnsiTheme="minorHAnsi" w:cstheme="minorHAnsi"/>
                <w:sz w:val="22"/>
                <w:szCs w:val="22"/>
              </w:rPr>
              <w:t>Representante Administrativo</w:t>
            </w:r>
          </w:p>
          <w:p w14:paraId="58C8BE84" w14:textId="77777777" w:rsidR="000A1621" w:rsidRPr="00155ADB" w:rsidRDefault="000A1621" w:rsidP="000136C8">
            <w:pPr>
              <w:pStyle w:val="Recuodecorpodetexto"/>
              <w:tabs>
                <w:tab w:val="left" w:pos="709"/>
              </w:tabs>
              <w:ind w:right="-1"/>
              <w:jc w:val="center"/>
              <w:rPr>
                <w:rFonts w:asciiTheme="minorHAnsi" w:hAnsiTheme="minorHAnsi" w:cstheme="minorHAnsi"/>
                <w:sz w:val="22"/>
                <w:szCs w:val="22"/>
              </w:rPr>
            </w:pPr>
          </w:p>
          <w:p w14:paraId="2841BB0D" w14:textId="77777777" w:rsidR="000A1621" w:rsidRPr="00155ADB" w:rsidRDefault="000A1621" w:rsidP="000136C8">
            <w:pPr>
              <w:pStyle w:val="Recuodecorpodetexto"/>
              <w:tabs>
                <w:tab w:val="left" w:pos="709"/>
              </w:tabs>
              <w:spacing w:line="240" w:lineRule="auto"/>
              <w:ind w:right="-1"/>
              <w:jc w:val="center"/>
              <w:rPr>
                <w:rFonts w:asciiTheme="minorHAnsi" w:hAnsiTheme="minorHAnsi" w:cstheme="minorHAnsi"/>
              </w:rPr>
            </w:pPr>
            <w:r w:rsidRPr="00155ADB">
              <w:rPr>
                <w:rFonts w:asciiTheme="minorHAnsi" w:hAnsiTheme="minorHAnsi" w:cstheme="minorHAnsi"/>
                <w:sz w:val="22"/>
                <w:szCs w:val="22"/>
              </w:rPr>
              <w:t>---------------------------------------</w:t>
            </w:r>
          </w:p>
          <w:p w14:paraId="60F87BA2" w14:textId="1EAE2941" w:rsidR="00942975" w:rsidRDefault="00942975" w:rsidP="000136C8">
            <w:pPr>
              <w:pStyle w:val="Recuodecorpodetexto"/>
              <w:tabs>
                <w:tab w:val="left" w:pos="709"/>
              </w:tabs>
              <w:spacing w:line="240" w:lineRule="auto"/>
              <w:ind w:right="-1"/>
              <w:jc w:val="center"/>
              <w:rPr>
                <w:rFonts w:asciiTheme="minorHAnsi" w:hAnsiTheme="minorHAnsi" w:cstheme="minorHAnsi"/>
                <w:sz w:val="22"/>
                <w:szCs w:val="22"/>
              </w:rPr>
            </w:pPr>
            <w:r>
              <w:rPr>
                <w:rFonts w:asciiTheme="minorHAnsi" w:hAnsiTheme="minorHAnsi" w:cstheme="minorHAnsi"/>
                <w:sz w:val="22"/>
                <w:szCs w:val="22"/>
              </w:rPr>
              <w:t>João Paulo Marques Moraes</w:t>
            </w:r>
          </w:p>
          <w:p w14:paraId="1A71527F" w14:textId="32EDF063" w:rsidR="00942975" w:rsidRDefault="00942975" w:rsidP="000136C8">
            <w:pPr>
              <w:pStyle w:val="Recuodecorpodetexto"/>
              <w:tabs>
                <w:tab w:val="left" w:pos="709"/>
              </w:tabs>
              <w:spacing w:line="240" w:lineRule="auto"/>
              <w:ind w:right="-1"/>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Pr>
                <w:rFonts w:asciiTheme="minorHAnsi" w:hAnsiTheme="minorHAnsi" w:cstheme="minorHAnsi"/>
                <w:sz w:val="22"/>
                <w:szCs w:val="22"/>
              </w:rPr>
              <w:t xml:space="preserve"> 1549110</w:t>
            </w:r>
          </w:p>
          <w:p w14:paraId="7CB1A72E" w14:textId="5D4CA8E7" w:rsidR="000A1621" w:rsidRPr="00155ADB" w:rsidRDefault="000A1621" w:rsidP="000136C8">
            <w:pPr>
              <w:pStyle w:val="Recuodecorpodetexto"/>
              <w:tabs>
                <w:tab w:val="left" w:pos="709"/>
              </w:tabs>
              <w:spacing w:line="240" w:lineRule="auto"/>
              <w:ind w:right="-1"/>
              <w:jc w:val="center"/>
              <w:rPr>
                <w:rFonts w:asciiTheme="minorHAnsi" w:hAnsiTheme="minorHAnsi" w:cstheme="minorHAnsi"/>
              </w:rPr>
            </w:pPr>
            <w:r w:rsidRPr="00155ADB">
              <w:rPr>
                <w:rFonts w:asciiTheme="minorHAnsi" w:hAnsiTheme="minorHAnsi" w:cstheme="minorHAnsi"/>
                <w:sz w:val="22"/>
                <w:szCs w:val="22"/>
              </w:rPr>
              <w:t>PROAD</w:t>
            </w:r>
          </w:p>
          <w:p w14:paraId="46677829" w14:textId="77777777" w:rsidR="000A1621" w:rsidRPr="00155ADB" w:rsidRDefault="000A1621" w:rsidP="000136C8">
            <w:pPr>
              <w:pStyle w:val="Recuodecorpodetexto"/>
              <w:tabs>
                <w:tab w:val="left" w:pos="709"/>
              </w:tabs>
              <w:ind w:right="-1"/>
              <w:jc w:val="center"/>
              <w:rPr>
                <w:rFonts w:asciiTheme="minorHAnsi" w:hAnsiTheme="minorHAnsi" w:cstheme="minorHAnsi"/>
                <w:sz w:val="22"/>
                <w:szCs w:val="22"/>
              </w:rPr>
            </w:pPr>
          </w:p>
          <w:p w14:paraId="0A799ED4" w14:textId="77777777" w:rsidR="000A1621" w:rsidRPr="00155ADB" w:rsidRDefault="000A1621" w:rsidP="000136C8">
            <w:pPr>
              <w:pStyle w:val="Recuodecorpodetexto"/>
              <w:tabs>
                <w:tab w:val="left" w:pos="709"/>
              </w:tabs>
              <w:ind w:right="-1"/>
              <w:jc w:val="center"/>
              <w:rPr>
                <w:rFonts w:asciiTheme="minorHAnsi" w:hAnsiTheme="minorHAnsi" w:cstheme="minorHAnsi"/>
                <w:sz w:val="22"/>
                <w:szCs w:val="22"/>
              </w:rPr>
            </w:pPr>
          </w:p>
          <w:p w14:paraId="76CEEE00" w14:textId="77777777" w:rsidR="000A1621" w:rsidRPr="00155ADB" w:rsidRDefault="000A1621" w:rsidP="000136C8">
            <w:pPr>
              <w:pStyle w:val="Recuodecorpodetexto"/>
              <w:tabs>
                <w:tab w:val="left" w:pos="709"/>
              </w:tabs>
              <w:ind w:right="-1"/>
              <w:jc w:val="left"/>
              <w:rPr>
                <w:rFonts w:asciiTheme="minorHAnsi" w:hAnsiTheme="minorHAnsi" w:cstheme="minorHAnsi"/>
                <w:sz w:val="22"/>
                <w:szCs w:val="22"/>
              </w:rPr>
            </w:pPr>
          </w:p>
        </w:tc>
      </w:tr>
      <w:tr w:rsidR="000A1621" w:rsidRPr="00155ADB" w14:paraId="4AE98C1E" w14:textId="77777777" w:rsidTr="000136C8">
        <w:tc>
          <w:tcPr>
            <w:tcW w:w="9195" w:type="dxa"/>
            <w:gridSpan w:val="2"/>
            <w:shd w:val="clear" w:color="auto" w:fill="FFFFFF"/>
          </w:tcPr>
          <w:p w14:paraId="7975E33E" w14:textId="77777777" w:rsidR="000A1621" w:rsidRPr="00155ADB" w:rsidRDefault="000A1621" w:rsidP="000136C8">
            <w:pPr>
              <w:pStyle w:val="Recuodecorpodetexto"/>
              <w:tabs>
                <w:tab w:val="left" w:pos="709"/>
              </w:tabs>
              <w:ind w:left="709" w:right="-1" w:hanging="709"/>
              <w:jc w:val="center"/>
              <w:rPr>
                <w:rFonts w:asciiTheme="minorHAnsi" w:hAnsiTheme="minorHAnsi" w:cstheme="minorHAnsi"/>
              </w:rPr>
            </w:pPr>
            <w:r w:rsidRPr="00155ADB">
              <w:rPr>
                <w:rFonts w:asciiTheme="minorHAnsi" w:hAnsiTheme="minorHAnsi" w:cstheme="minorHAnsi"/>
                <w:sz w:val="22"/>
                <w:szCs w:val="22"/>
              </w:rPr>
              <w:t xml:space="preserve">Demandante </w:t>
            </w:r>
          </w:p>
          <w:p w14:paraId="3A9BBDFB" w14:textId="77777777" w:rsidR="000A1621" w:rsidRPr="00155ADB" w:rsidRDefault="000A1621" w:rsidP="000136C8">
            <w:pPr>
              <w:pStyle w:val="Recuodecorpodetexto"/>
              <w:tabs>
                <w:tab w:val="left" w:pos="709"/>
              </w:tabs>
              <w:ind w:left="709" w:right="-1" w:hanging="709"/>
              <w:jc w:val="center"/>
              <w:rPr>
                <w:rFonts w:asciiTheme="minorHAnsi" w:hAnsiTheme="minorHAnsi" w:cstheme="minorHAnsi"/>
                <w:sz w:val="22"/>
                <w:szCs w:val="22"/>
              </w:rPr>
            </w:pPr>
          </w:p>
          <w:p w14:paraId="03D414CA" w14:textId="77777777" w:rsidR="000A1621" w:rsidRPr="00155ADB" w:rsidRDefault="000A1621" w:rsidP="000136C8">
            <w:pPr>
              <w:pStyle w:val="Recuodecorpodetexto"/>
              <w:tabs>
                <w:tab w:val="left" w:pos="709"/>
              </w:tabs>
              <w:spacing w:line="240" w:lineRule="auto"/>
              <w:ind w:left="709" w:right="-1" w:hanging="709"/>
              <w:jc w:val="center"/>
              <w:rPr>
                <w:rFonts w:asciiTheme="minorHAnsi" w:hAnsiTheme="minorHAnsi" w:cstheme="minorHAnsi"/>
              </w:rPr>
            </w:pPr>
            <w:r w:rsidRPr="00155ADB">
              <w:rPr>
                <w:rFonts w:asciiTheme="minorHAnsi" w:hAnsiTheme="minorHAnsi" w:cstheme="minorHAnsi"/>
                <w:sz w:val="22"/>
                <w:szCs w:val="22"/>
              </w:rPr>
              <w:t>------------------------------------------------------------------</w:t>
            </w:r>
          </w:p>
          <w:p w14:paraId="7A2E2B3F" w14:textId="77777777" w:rsidR="000A1621" w:rsidRPr="00155ADB" w:rsidRDefault="000A1621" w:rsidP="000136C8">
            <w:pPr>
              <w:pStyle w:val="Recuodecorpodetexto"/>
              <w:tabs>
                <w:tab w:val="left" w:pos="709"/>
              </w:tabs>
              <w:spacing w:line="240" w:lineRule="auto"/>
              <w:ind w:left="709" w:right="-1" w:hanging="709"/>
              <w:jc w:val="center"/>
              <w:rPr>
                <w:rFonts w:asciiTheme="minorHAnsi" w:hAnsiTheme="minorHAnsi" w:cstheme="minorHAnsi"/>
              </w:rPr>
            </w:pPr>
            <w:r w:rsidRPr="00155ADB">
              <w:rPr>
                <w:rFonts w:asciiTheme="minorHAnsi" w:hAnsiTheme="minorHAnsi" w:cstheme="minorHAnsi"/>
                <w:sz w:val="22"/>
                <w:szCs w:val="22"/>
              </w:rPr>
              <w:t>Gerencia Governança Segurança da Informação - GGSI</w:t>
            </w:r>
          </w:p>
          <w:p w14:paraId="583E13FC" w14:textId="77777777" w:rsidR="000A1621" w:rsidRDefault="000A1621" w:rsidP="000136C8">
            <w:pPr>
              <w:pStyle w:val="Recuodecorpodetexto"/>
              <w:tabs>
                <w:tab w:val="left" w:pos="709"/>
              </w:tabs>
              <w:ind w:left="709" w:right="-1" w:hanging="709"/>
              <w:jc w:val="center"/>
              <w:rPr>
                <w:rFonts w:asciiTheme="minorHAnsi" w:hAnsiTheme="minorHAnsi" w:cstheme="minorHAnsi"/>
                <w:sz w:val="22"/>
                <w:szCs w:val="22"/>
              </w:rPr>
            </w:pPr>
          </w:p>
          <w:p w14:paraId="60918D60" w14:textId="77777777" w:rsidR="000A1621" w:rsidRPr="00155ADB" w:rsidRDefault="000A1621" w:rsidP="000136C8">
            <w:pPr>
              <w:pStyle w:val="Recuodecorpodetexto"/>
              <w:tabs>
                <w:tab w:val="left" w:pos="709"/>
              </w:tabs>
              <w:ind w:left="709" w:right="-1" w:hanging="709"/>
              <w:jc w:val="center"/>
              <w:rPr>
                <w:rFonts w:asciiTheme="minorHAnsi" w:hAnsiTheme="minorHAnsi" w:cstheme="minorHAnsi"/>
                <w:sz w:val="22"/>
                <w:szCs w:val="22"/>
              </w:rPr>
            </w:pPr>
          </w:p>
        </w:tc>
      </w:tr>
    </w:tbl>
    <w:p w14:paraId="7CB1387B" w14:textId="77777777" w:rsidR="000A1621" w:rsidRDefault="000A1621" w:rsidP="000A1621">
      <w:pPr>
        <w:pStyle w:val="Recuodecorpodetexto"/>
        <w:tabs>
          <w:tab w:val="left" w:pos="709"/>
        </w:tabs>
        <w:spacing w:before="120" w:line="240" w:lineRule="auto"/>
        <w:ind w:left="709" w:right="-1" w:hanging="709"/>
        <w:jc w:val="center"/>
      </w:pPr>
      <w:r>
        <w:rPr>
          <w:rFonts w:ascii="Arial" w:hAnsi="Arial" w:cs="Arial"/>
          <w:sz w:val="22"/>
          <w:szCs w:val="22"/>
        </w:rPr>
        <w:t>____________________________</w:t>
      </w:r>
    </w:p>
    <w:p w14:paraId="14A5772D" w14:textId="77777777" w:rsidR="00942975" w:rsidRDefault="000A1621" w:rsidP="000A1621">
      <w:pPr>
        <w:pStyle w:val="Recuodecorpodetexto"/>
        <w:tabs>
          <w:tab w:val="left" w:pos="709"/>
        </w:tabs>
        <w:spacing w:line="240" w:lineRule="auto"/>
        <w:ind w:left="709" w:right="-1" w:hanging="709"/>
        <w:jc w:val="center"/>
        <w:rPr>
          <w:rFonts w:ascii="Arial" w:hAnsi="Arial" w:cs="Arial"/>
          <w:sz w:val="22"/>
          <w:szCs w:val="22"/>
        </w:rPr>
      </w:pPr>
      <w:r>
        <w:rPr>
          <w:rFonts w:ascii="Arial" w:hAnsi="Arial" w:cs="Arial"/>
          <w:sz w:val="22"/>
          <w:szCs w:val="22"/>
        </w:rPr>
        <w:t>Hélcio de Almeida Rocha</w:t>
      </w:r>
    </w:p>
    <w:p w14:paraId="35D0C1DE" w14:textId="4FB6E97D" w:rsidR="000A1621" w:rsidRDefault="00942975" w:rsidP="000A1621">
      <w:pPr>
        <w:pStyle w:val="Recuodecorpodetexto"/>
        <w:tabs>
          <w:tab w:val="left" w:pos="709"/>
        </w:tabs>
        <w:spacing w:line="240" w:lineRule="auto"/>
        <w:ind w:left="709" w:right="-1" w:hanging="709"/>
        <w:jc w:val="center"/>
      </w:pPr>
      <w:proofErr w:type="spellStart"/>
      <w:r>
        <w:rPr>
          <w:rFonts w:ascii="Arial" w:hAnsi="Arial" w:cs="Arial"/>
          <w:sz w:val="22"/>
          <w:szCs w:val="22"/>
        </w:rPr>
        <w:t>Siape</w:t>
      </w:r>
      <w:proofErr w:type="spellEnd"/>
      <w:r>
        <w:rPr>
          <w:rFonts w:ascii="Arial" w:hAnsi="Arial" w:cs="Arial"/>
          <w:sz w:val="22"/>
          <w:szCs w:val="22"/>
        </w:rPr>
        <w:t xml:space="preserve"> </w:t>
      </w:r>
      <w:r w:rsidR="000A1621">
        <w:rPr>
          <w:rFonts w:ascii="Arial" w:hAnsi="Arial" w:cs="Arial"/>
          <w:sz w:val="22"/>
          <w:szCs w:val="22"/>
        </w:rPr>
        <w:t>302823</w:t>
      </w:r>
    </w:p>
    <w:p w14:paraId="24AA2CCE" w14:textId="77777777" w:rsidR="000A1621" w:rsidRDefault="000A1621" w:rsidP="000A1621">
      <w:pPr>
        <w:tabs>
          <w:tab w:val="left" w:pos="993"/>
        </w:tabs>
        <w:ind w:right="-1"/>
        <w:jc w:val="center"/>
      </w:pPr>
      <w:r>
        <w:rPr>
          <w:rFonts w:cs="Arial"/>
          <w:b/>
          <w:bCs/>
          <w:color w:val="000000"/>
          <w:sz w:val="22"/>
          <w:szCs w:val="22"/>
        </w:rPr>
        <w:t>Superintendente da STI</w:t>
      </w:r>
    </w:p>
    <w:p w14:paraId="22177139" w14:textId="37284198" w:rsidR="001D3599" w:rsidRDefault="001D3599" w:rsidP="00A40924">
      <w:pPr>
        <w:spacing w:before="120" w:after="120"/>
        <w:ind w:right="-81"/>
        <w:rPr>
          <w:rFonts w:asciiTheme="minorHAnsi" w:hAnsiTheme="minorHAnsi" w:cstheme="minorHAnsi"/>
          <w:sz w:val="22"/>
          <w:szCs w:val="22"/>
        </w:rPr>
      </w:pPr>
    </w:p>
    <w:p w14:paraId="1E692E40" w14:textId="44201269" w:rsidR="00942975" w:rsidRDefault="00942975" w:rsidP="00A40924">
      <w:pPr>
        <w:spacing w:before="120" w:after="120"/>
        <w:ind w:right="-81"/>
        <w:rPr>
          <w:rFonts w:asciiTheme="minorHAnsi" w:hAnsiTheme="minorHAnsi" w:cstheme="minorHAnsi"/>
          <w:sz w:val="22"/>
          <w:szCs w:val="22"/>
        </w:rPr>
      </w:pPr>
    </w:p>
    <w:p w14:paraId="1D6F12B9" w14:textId="492E0F1C" w:rsidR="00942975" w:rsidRDefault="00942975" w:rsidP="00A40924">
      <w:pPr>
        <w:spacing w:before="120" w:after="120"/>
        <w:ind w:right="-81"/>
        <w:rPr>
          <w:rFonts w:asciiTheme="minorHAnsi" w:hAnsiTheme="minorHAnsi" w:cstheme="minorHAnsi"/>
          <w:sz w:val="22"/>
          <w:szCs w:val="22"/>
        </w:rPr>
      </w:pPr>
    </w:p>
    <w:p w14:paraId="07067F17" w14:textId="1F4647A2" w:rsidR="00942975" w:rsidRDefault="00942975" w:rsidP="00A40924">
      <w:pPr>
        <w:spacing w:before="120" w:after="120"/>
        <w:ind w:right="-81"/>
        <w:rPr>
          <w:rFonts w:asciiTheme="minorHAnsi" w:hAnsiTheme="minorHAnsi" w:cstheme="minorHAnsi"/>
          <w:sz w:val="22"/>
          <w:szCs w:val="22"/>
        </w:rPr>
      </w:pPr>
    </w:p>
    <w:p w14:paraId="6636E71E" w14:textId="634D5EDC" w:rsidR="00942975" w:rsidRDefault="00942975" w:rsidP="00A40924">
      <w:pPr>
        <w:spacing w:before="120" w:after="120"/>
        <w:ind w:right="-81"/>
        <w:rPr>
          <w:rFonts w:asciiTheme="minorHAnsi" w:hAnsiTheme="minorHAnsi" w:cstheme="minorHAnsi"/>
          <w:sz w:val="22"/>
          <w:szCs w:val="22"/>
        </w:rPr>
      </w:pPr>
    </w:p>
    <w:p w14:paraId="2A3D0C85" w14:textId="77777777" w:rsidR="00942975" w:rsidRPr="00A40924" w:rsidRDefault="00942975" w:rsidP="00A40924">
      <w:pPr>
        <w:spacing w:before="120" w:after="120"/>
        <w:ind w:right="-81"/>
        <w:rPr>
          <w:rFonts w:asciiTheme="minorHAnsi" w:hAnsiTheme="minorHAnsi" w:cstheme="minorHAnsi"/>
          <w:sz w:val="22"/>
          <w:szCs w:val="22"/>
        </w:rPr>
      </w:pPr>
    </w:p>
    <w:p w14:paraId="54F5DEFB" w14:textId="7565473F" w:rsidR="00A40924" w:rsidRPr="00A40924" w:rsidRDefault="00A40924" w:rsidP="00A40924">
      <w:pPr>
        <w:pStyle w:val="PargrafodaLista"/>
        <w:numPr>
          <w:ilvl w:val="0"/>
          <w:numId w:val="30"/>
        </w:numPr>
        <w:spacing w:before="120" w:after="120"/>
        <w:ind w:right="-81"/>
        <w:rPr>
          <w:rFonts w:asciiTheme="minorHAnsi" w:hAnsiTheme="minorHAnsi" w:cstheme="minorHAnsi"/>
          <w:b/>
          <w:bCs/>
          <w:sz w:val="22"/>
          <w:szCs w:val="22"/>
        </w:rPr>
      </w:pPr>
      <w:r w:rsidRPr="00A40924">
        <w:rPr>
          <w:rFonts w:asciiTheme="minorHAnsi" w:hAnsiTheme="minorHAnsi" w:cstheme="minorHAnsi"/>
          <w:b/>
          <w:bCs/>
          <w:sz w:val="22"/>
          <w:szCs w:val="22"/>
        </w:rPr>
        <w:lastRenderedPageBreak/>
        <w:t>APROVAÇÃO DA AUTORIDADE COMPETENTE</w:t>
      </w:r>
    </w:p>
    <w:p w14:paraId="496B20AA" w14:textId="54CD20F1" w:rsidR="00A40924" w:rsidRPr="00A40924" w:rsidRDefault="00A40924" w:rsidP="00A40924">
      <w:pPr>
        <w:spacing w:before="120" w:after="120"/>
        <w:ind w:left="360" w:right="-81"/>
        <w:rPr>
          <w:rFonts w:asciiTheme="minorHAnsi" w:hAnsiTheme="minorHAnsi" w:cstheme="minorHAnsi"/>
          <w:sz w:val="22"/>
          <w:szCs w:val="22"/>
        </w:rPr>
      </w:pPr>
    </w:p>
    <w:p w14:paraId="5C759A76" w14:textId="46B543CF" w:rsidR="00A40924" w:rsidRDefault="00A40924" w:rsidP="00A40924">
      <w:pPr>
        <w:spacing w:before="120" w:after="120"/>
        <w:ind w:left="360" w:right="-81" w:firstLine="348"/>
        <w:jc w:val="both"/>
        <w:rPr>
          <w:rFonts w:asciiTheme="minorHAnsi" w:hAnsiTheme="minorHAnsi"/>
          <w:sz w:val="22"/>
          <w:szCs w:val="22"/>
          <w:lang w:eastAsia="zh-CN"/>
        </w:rPr>
      </w:pPr>
      <w:r w:rsidRPr="00A40924">
        <w:rPr>
          <w:rFonts w:asciiTheme="minorHAnsi" w:hAnsiTheme="minorHAnsi"/>
          <w:sz w:val="22"/>
          <w:szCs w:val="22"/>
          <w:lang w:eastAsia="zh-CN"/>
        </w:rPr>
        <w:t>O presente planejamento está de acordo com as necessidades técnicas, operacionais e estratégicas da UFF, mesmo que os integrantes técnico e/ou requisitante tenham se pronunciado pela inviabilidade da contratação.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14:paraId="0FA255C2" w14:textId="77777777" w:rsidR="00A40924" w:rsidRPr="00A40924" w:rsidRDefault="00A40924" w:rsidP="00A40924">
      <w:pPr>
        <w:spacing w:before="120" w:after="120"/>
        <w:ind w:left="360" w:right="-81"/>
        <w:jc w:val="both"/>
        <w:rPr>
          <w:rFonts w:asciiTheme="minorHAnsi" w:hAnsiTheme="minorHAnsi"/>
          <w:sz w:val="22"/>
          <w:szCs w:val="22"/>
          <w:lang w:eastAsia="zh-CN"/>
        </w:rPr>
      </w:pPr>
    </w:p>
    <w:p w14:paraId="34114440" w14:textId="1F4BD0ED" w:rsidR="00A40924" w:rsidRPr="00A40924" w:rsidRDefault="00A40924" w:rsidP="00A40924">
      <w:pPr>
        <w:spacing w:after="120"/>
        <w:ind w:left="360" w:right="-81"/>
        <w:jc w:val="center"/>
        <w:rPr>
          <w:rFonts w:asciiTheme="minorHAnsi" w:hAnsiTheme="minorHAnsi"/>
          <w:sz w:val="22"/>
          <w:szCs w:val="22"/>
          <w:lang w:eastAsia="zh-CN"/>
        </w:rPr>
      </w:pPr>
      <w:r w:rsidRPr="00A40924">
        <w:rPr>
          <w:rFonts w:asciiTheme="minorHAnsi" w:hAnsiTheme="minorHAnsi"/>
          <w:sz w:val="22"/>
          <w:szCs w:val="22"/>
          <w:lang w:eastAsia="zh-CN"/>
        </w:rPr>
        <w:t>___________________________</w:t>
      </w:r>
    </w:p>
    <w:p w14:paraId="4336064C" w14:textId="52482070" w:rsidR="00A40924" w:rsidRPr="00A40924" w:rsidRDefault="00A40924" w:rsidP="00A40924">
      <w:pPr>
        <w:spacing w:after="120"/>
        <w:ind w:left="360" w:right="-81"/>
        <w:jc w:val="center"/>
        <w:rPr>
          <w:rFonts w:asciiTheme="minorHAnsi" w:hAnsiTheme="minorHAnsi" w:cstheme="minorHAnsi"/>
          <w:sz w:val="22"/>
          <w:szCs w:val="22"/>
        </w:rPr>
      </w:pPr>
      <w:r w:rsidRPr="00A40924">
        <w:rPr>
          <w:rFonts w:asciiTheme="minorHAnsi" w:hAnsiTheme="minorHAnsi"/>
          <w:sz w:val="22"/>
          <w:szCs w:val="22"/>
          <w:lang w:eastAsia="zh-CN"/>
        </w:rPr>
        <w:t>Pró-Reitoria de Administração</w:t>
      </w:r>
    </w:p>
    <w:sectPr w:rsidR="00A40924" w:rsidRPr="00A40924" w:rsidSect="00942975">
      <w:headerReference w:type="default" r:id="rId11"/>
      <w:footerReference w:type="default" r:id="rId12"/>
      <w:pgSz w:w="11906" w:h="16838"/>
      <w:pgMar w:top="1702" w:right="1080" w:bottom="1440" w:left="1080"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EC0DF" w14:textId="77777777" w:rsidR="00E04A34" w:rsidRDefault="00E04A34" w:rsidP="00195787">
      <w:r>
        <w:separator/>
      </w:r>
    </w:p>
  </w:endnote>
  <w:endnote w:type="continuationSeparator" w:id="0">
    <w:p w14:paraId="237D24C5" w14:textId="77777777" w:rsidR="00E04A34" w:rsidRDefault="00E04A34"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CB4D" w14:textId="77777777" w:rsidR="00317E71" w:rsidRDefault="00317E71">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05111002" w:rsidR="00317E71" w:rsidRPr="007D1C2C" w:rsidRDefault="00A87093" w:rsidP="00BB598F">
    <w:pPr>
      <w:pStyle w:val="Rodap"/>
      <w:jc w:val="center"/>
      <w:rPr>
        <w:i/>
      </w:rPr>
    </w:pPr>
    <w:r>
      <w:rPr>
        <w:sz w:val="12"/>
        <w:szCs w:val="12"/>
      </w:rPr>
      <w:t xml:space="preserve">Estudos Preliminares </w:t>
    </w:r>
    <w:r w:rsidR="00BD58B4">
      <w:rPr>
        <w:sz w:val="12"/>
        <w:szCs w:val="12"/>
      </w:rPr>
      <w:t xml:space="preserve">– Aquisições Planejadas no </w:t>
    </w:r>
    <w:proofErr w:type="spellStart"/>
    <w:r w:rsidR="00BD58B4">
      <w:rPr>
        <w:sz w:val="12"/>
        <w:szCs w:val="12"/>
      </w:rPr>
      <w:t>SiaCompras</w:t>
    </w:r>
    <w:proofErr w:type="spellEnd"/>
    <w:r w:rsidR="00BD58B4">
      <w:rPr>
        <w:sz w:val="12"/>
        <w:szCs w:val="12"/>
      </w:rPr>
      <w:t xml:space="preserve"> (SRP)</w:t>
    </w:r>
    <w:r w:rsidR="00BD58B4">
      <w:rPr>
        <w:sz w:val="12"/>
        <w:szCs w:val="12"/>
      </w:rPr>
      <w:tab/>
    </w:r>
    <w:r w:rsidR="00317E71">
      <w:rPr>
        <w:sz w:val="12"/>
        <w:szCs w:val="12"/>
      </w:rPr>
      <w:tab/>
    </w:r>
    <w:r w:rsidR="00317E71">
      <w:rPr>
        <w:rFonts w:ascii="Verdana" w:hAnsi="Verdana"/>
        <w:sz w:val="16"/>
        <w:szCs w:val="16"/>
      </w:rPr>
      <w:t>Pág</w:t>
    </w:r>
    <w:r w:rsidR="00317E71" w:rsidRPr="00901838">
      <w:rPr>
        <w:rFonts w:ascii="Verdana" w:hAnsi="Verdana"/>
        <w:sz w:val="16"/>
        <w:szCs w:val="16"/>
      </w:rPr>
      <w:t xml:space="preserve">. </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PAGE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14</w:t>
    </w:r>
    <w:r w:rsidR="002B7D60" w:rsidRPr="00901838">
      <w:rPr>
        <w:rStyle w:val="Nmerodepgina"/>
        <w:rFonts w:ascii="Verdana" w:eastAsia="MS Gothic" w:hAnsi="Verdana"/>
        <w:sz w:val="16"/>
        <w:szCs w:val="16"/>
      </w:rPr>
      <w:fldChar w:fldCharType="end"/>
    </w:r>
    <w:r w:rsidR="00317E71" w:rsidRPr="00901838">
      <w:rPr>
        <w:rStyle w:val="Nmerodepgina"/>
        <w:rFonts w:ascii="Verdana" w:eastAsia="MS Gothic" w:hAnsi="Verdana"/>
        <w:sz w:val="16"/>
        <w:szCs w:val="16"/>
      </w:rPr>
      <w:t>/</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NUMPAGES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39</w:t>
    </w:r>
    <w:r w:rsidR="002B7D60" w:rsidRPr="00901838">
      <w:rPr>
        <w:rStyle w:val="Nmerodepgina"/>
        <w:rFonts w:ascii="Verdana" w:eastAsia="MS Gothic" w:hAnsi="Verdana"/>
        <w:sz w:val="16"/>
        <w:szCs w:val="16"/>
      </w:rPr>
      <w:fldChar w:fldCharType="end"/>
    </w:r>
  </w:p>
  <w:p w14:paraId="49E75F66" w14:textId="77777777" w:rsidR="00317E71" w:rsidRDefault="00317E71">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2ED4" w14:textId="77777777" w:rsidR="00E04A34" w:rsidRDefault="00E04A34" w:rsidP="00195787">
      <w:r>
        <w:separator/>
      </w:r>
    </w:p>
  </w:footnote>
  <w:footnote w:type="continuationSeparator" w:id="0">
    <w:p w14:paraId="1279BC9D" w14:textId="77777777" w:rsidR="00E04A34" w:rsidRDefault="00E04A34"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72D8" w14:textId="77777777" w:rsidR="00317E71" w:rsidRDefault="00317E71" w:rsidP="006E4496">
    <w:pPr>
      <w:pStyle w:val="Cabealho"/>
      <w:jc w:val="right"/>
      <w:rPr>
        <w:rFonts w:ascii="Verdana" w:hAnsi="Verdana"/>
        <w:sz w:val="16"/>
        <w:szCs w:val="16"/>
      </w:rPr>
    </w:pPr>
  </w:p>
  <w:p w14:paraId="68ECA8D3" w14:textId="5622A960" w:rsidR="00317E71" w:rsidRDefault="00317E71" w:rsidP="006E4496">
    <w:pPr>
      <w:pStyle w:val="Cabealho"/>
      <w:jc w:val="right"/>
      <w:rPr>
        <w:rFonts w:ascii="Verdana" w:hAnsi="Verdana"/>
        <w:sz w:val="16"/>
        <w:szCs w:val="16"/>
      </w:rPr>
    </w:pPr>
  </w:p>
  <w:p w14:paraId="5A15971E" w14:textId="0BD3BB72" w:rsidR="00317E71" w:rsidRPr="00347E5F" w:rsidRDefault="00317E71" w:rsidP="006E4496">
    <w:pPr>
      <w:pStyle w:val="Cabealho"/>
      <w:jc w:val="right"/>
      <w:rPr>
        <w:rFonts w:ascii="Verdana" w:hAnsi="Verdana"/>
        <w:sz w:val="16"/>
        <w:szCs w:val="16"/>
      </w:rPr>
    </w:pPr>
    <w:r w:rsidRPr="00347E5F">
      <w:rPr>
        <w:rFonts w:ascii="Verdana" w:hAnsi="Verdana"/>
        <w:sz w:val="16"/>
        <w:szCs w:val="16"/>
      </w:rPr>
      <w:t>Fls.__________</w:t>
    </w:r>
  </w:p>
  <w:p w14:paraId="09534C64" w14:textId="04BFBAA1" w:rsidR="00317E71" w:rsidRDefault="00942975"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34BB0491">
          <wp:simplePos x="0" y="0"/>
          <wp:positionH relativeFrom="margin">
            <wp:align>left</wp:align>
          </wp:positionH>
          <wp:positionV relativeFrom="paragraph">
            <wp:posOffset>38100</wp:posOffset>
          </wp:positionV>
          <wp:extent cx="685800" cy="370840"/>
          <wp:effectExtent l="0" t="0" r="0" b="0"/>
          <wp:wrapNone/>
          <wp:docPr id="22" name="Imagem 2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322C2C06" wp14:editId="01351835">
          <wp:simplePos x="0" y="0"/>
          <wp:positionH relativeFrom="column">
            <wp:posOffset>5158740</wp:posOffset>
          </wp:positionH>
          <wp:positionV relativeFrom="paragraph">
            <wp:posOffset>156210</wp:posOffset>
          </wp:positionV>
          <wp:extent cx="1159200" cy="338400"/>
          <wp:effectExtent l="0" t="0" r="3175" b="508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_logo.jpg"/>
                  <pic:cNvPicPr/>
                </pic:nvPicPr>
                <pic:blipFill>
                  <a:blip r:embed="rId2"/>
                  <a:stretch>
                    <a:fillRect/>
                  </a:stretch>
                </pic:blipFill>
                <pic:spPr>
                  <a:xfrm>
                    <a:off x="0" y="0"/>
                    <a:ext cx="1159200" cy="338400"/>
                  </a:xfrm>
                  <a:prstGeom prst="rect">
                    <a:avLst/>
                  </a:prstGeom>
                </pic:spPr>
              </pic:pic>
            </a:graphicData>
          </a:graphic>
          <wp14:sizeRelH relativeFrom="margin">
            <wp14:pctWidth>0</wp14:pctWidth>
          </wp14:sizeRelH>
          <wp14:sizeRelV relativeFrom="margin">
            <wp14:pctHeight>0</wp14:pctHeight>
          </wp14:sizeRelV>
        </wp:anchor>
      </w:drawing>
    </w:r>
    <w:r w:rsidR="00317E71" w:rsidRPr="00347E5F">
      <w:rPr>
        <w:rFonts w:ascii="Verdana" w:hAnsi="Verdana"/>
        <w:sz w:val="16"/>
        <w:szCs w:val="16"/>
      </w:rPr>
      <w:t xml:space="preserve">Processo n.º </w:t>
    </w:r>
    <w:r w:rsidR="00317E71">
      <w:rPr>
        <w:rFonts w:ascii="Verdana" w:hAnsi="Verdana"/>
        <w:sz w:val="16"/>
        <w:szCs w:val="16"/>
      </w:rPr>
      <w:t>23069.00</w:t>
    </w:r>
    <w:r>
      <w:rPr>
        <w:rFonts w:ascii="Verdana" w:hAnsi="Verdana"/>
        <w:sz w:val="16"/>
        <w:szCs w:val="16"/>
      </w:rPr>
      <w:t>2595</w:t>
    </w:r>
    <w:r w:rsidR="000F288B">
      <w:rPr>
        <w:rFonts w:ascii="Verdana" w:hAnsi="Verdana"/>
        <w:sz w:val="16"/>
        <w:szCs w:val="16"/>
      </w:rPr>
      <w:t>/2019-</w:t>
    </w:r>
    <w:r>
      <w:rPr>
        <w:rFonts w:ascii="Verdana" w:hAnsi="Verdana"/>
        <w:sz w:val="16"/>
        <w:szCs w:val="16"/>
      </w:rPr>
      <w:t>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A0B7611"/>
    <w:multiLevelType w:val="hybridMultilevel"/>
    <w:tmpl w:val="740E9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5C100D"/>
    <w:multiLevelType w:val="multilevel"/>
    <w:tmpl w:val="00EA5094"/>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6" w15:restartNumberingAfterBreak="0">
    <w:nsid w:val="22CC15E7"/>
    <w:multiLevelType w:val="multilevel"/>
    <w:tmpl w:val="A3A68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9"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F247EE2"/>
    <w:multiLevelType w:val="multilevel"/>
    <w:tmpl w:val="A8B84ABE"/>
    <w:lvl w:ilvl="0">
      <w:start w:val="11"/>
      <w:numFmt w:val="decimal"/>
      <w:lvlText w:val="%1."/>
      <w:lvlJc w:val="left"/>
      <w:pPr>
        <w:ind w:left="463" w:hanging="360"/>
      </w:pPr>
      <w:rPr>
        <w:rFonts w:hint="default"/>
      </w:rPr>
    </w:lvl>
    <w:lvl w:ilvl="1">
      <w:start w:val="1"/>
      <w:numFmt w:val="decimal"/>
      <w:isLgl/>
      <w:lvlText w:val="%1.%2."/>
      <w:lvlJc w:val="left"/>
      <w:pPr>
        <w:ind w:left="540" w:hanging="540"/>
      </w:pPr>
      <w:rPr>
        <w:rFonts w:ascii="Verdana" w:hAnsi="Verdana" w:cs="Arial" w:hint="default"/>
      </w:rPr>
    </w:lvl>
    <w:lvl w:ilvl="2">
      <w:start w:val="1"/>
      <w:numFmt w:val="decimal"/>
      <w:isLgl/>
      <w:lvlText w:val="%1.%2.%3."/>
      <w:lvlJc w:val="left"/>
      <w:pPr>
        <w:ind w:left="823" w:hanging="720"/>
      </w:pPr>
      <w:rPr>
        <w:rFonts w:ascii="Verdana" w:hAnsi="Verdana" w:cs="Arial" w:hint="default"/>
      </w:rPr>
    </w:lvl>
    <w:lvl w:ilvl="3">
      <w:start w:val="1"/>
      <w:numFmt w:val="decimal"/>
      <w:isLgl/>
      <w:lvlText w:val="%1.%2.%3.%4."/>
      <w:lvlJc w:val="left"/>
      <w:pPr>
        <w:ind w:left="823" w:hanging="720"/>
      </w:pPr>
      <w:rPr>
        <w:rFonts w:ascii="Verdana" w:hAnsi="Verdana" w:cs="Arial" w:hint="default"/>
      </w:rPr>
    </w:lvl>
    <w:lvl w:ilvl="4">
      <w:start w:val="1"/>
      <w:numFmt w:val="decimal"/>
      <w:isLgl/>
      <w:lvlText w:val="%1.%2.%3.%4.%5."/>
      <w:lvlJc w:val="left"/>
      <w:pPr>
        <w:ind w:left="1183" w:hanging="1080"/>
      </w:pPr>
      <w:rPr>
        <w:rFonts w:ascii="Verdana" w:hAnsi="Verdana" w:cs="Arial" w:hint="default"/>
      </w:rPr>
    </w:lvl>
    <w:lvl w:ilvl="5">
      <w:start w:val="1"/>
      <w:numFmt w:val="decimal"/>
      <w:isLgl/>
      <w:lvlText w:val="%1.%2.%3.%4.%5.%6."/>
      <w:lvlJc w:val="left"/>
      <w:pPr>
        <w:ind w:left="1183" w:hanging="1080"/>
      </w:pPr>
      <w:rPr>
        <w:rFonts w:ascii="Verdana" w:hAnsi="Verdana" w:cs="Arial" w:hint="default"/>
      </w:rPr>
    </w:lvl>
    <w:lvl w:ilvl="6">
      <w:start w:val="1"/>
      <w:numFmt w:val="decimal"/>
      <w:isLgl/>
      <w:lvlText w:val="%1.%2.%3.%4.%5.%6.%7."/>
      <w:lvlJc w:val="left"/>
      <w:pPr>
        <w:ind w:left="1183" w:hanging="1080"/>
      </w:pPr>
      <w:rPr>
        <w:rFonts w:ascii="Verdana" w:hAnsi="Verdana" w:cs="Arial" w:hint="default"/>
      </w:rPr>
    </w:lvl>
    <w:lvl w:ilvl="7">
      <w:start w:val="1"/>
      <w:numFmt w:val="decimal"/>
      <w:isLgl/>
      <w:lvlText w:val="%1.%2.%3.%4.%5.%6.%7.%8."/>
      <w:lvlJc w:val="left"/>
      <w:pPr>
        <w:ind w:left="1543" w:hanging="1440"/>
      </w:pPr>
      <w:rPr>
        <w:rFonts w:ascii="Verdana" w:hAnsi="Verdana" w:cs="Arial" w:hint="default"/>
      </w:rPr>
    </w:lvl>
    <w:lvl w:ilvl="8">
      <w:start w:val="1"/>
      <w:numFmt w:val="decimal"/>
      <w:isLgl/>
      <w:lvlText w:val="%1.%2.%3.%4.%5.%6.%7.%8.%9."/>
      <w:lvlJc w:val="left"/>
      <w:pPr>
        <w:ind w:left="1543" w:hanging="1440"/>
      </w:pPr>
      <w:rPr>
        <w:rFonts w:ascii="Verdana" w:hAnsi="Verdana" w:cs="Arial" w:hint="default"/>
      </w:rPr>
    </w:lvl>
  </w:abstractNum>
  <w:abstractNum w:abstractNumId="34"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5" w15:restartNumberingAfterBreak="0">
    <w:nsid w:val="478C795B"/>
    <w:multiLevelType w:val="multilevel"/>
    <w:tmpl w:val="FD623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sz w:val="22"/>
        <w:szCs w:val="22"/>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E8C4C83"/>
    <w:multiLevelType w:val="multilevel"/>
    <w:tmpl w:val="6502825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3"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38"/>
  </w:num>
  <w:num w:numId="3">
    <w:abstractNumId w:val="39"/>
  </w:num>
  <w:num w:numId="4">
    <w:abstractNumId w:val="31"/>
  </w:num>
  <w:num w:numId="5">
    <w:abstractNumId w:val="2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37"/>
  </w:num>
  <w:num w:numId="10">
    <w:abstractNumId w:val="42"/>
  </w:num>
  <w:num w:numId="11">
    <w:abstractNumId w:val="27"/>
  </w:num>
  <w:num w:numId="12">
    <w:abstractNumId w:val="20"/>
  </w:num>
  <w:num w:numId="13">
    <w:abstractNumId w:val="2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2"/>
  </w:num>
  <w:num w:numId="26">
    <w:abstractNumId w:val="44"/>
  </w:num>
  <w:num w:numId="27">
    <w:abstractNumId w:val="29"/>
  </w:num>
  <w:num w:numId="28">
    <w:abstractNumId w:val="22"/>
  </w:num>
  <w:num w:numId="29">
    <w:abstractNumId w:val="43"/>
  </w:num>
  <w:num w:numId="30">
    <w:abstractNumId w:val="3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1"/>
  </w:num>
  <w:num w:numId="34">
    <w:abstractNumId w:val="33"/>
  </w:num>
  <w:num w:numId="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40D39"/>
    <w:rsid w:val="000425AB"/>
    <w:rsid w:val="00054A82"/>
    <w:rsid w:val="00064935"/>
    <w:rsid w:val="00073A80"/>
    <w:rsid w:val="000A1621"/>
    <w:rsid w:val="000A5C63"/>
    <w:rsid w:val="000B5CD5"/>
    <w:rsid w:val="000D13E3"/>
    <w:rsid w:val="000D1838"/>
    <w:rsid w:val="000D62E0"/>
    <w:rsid w:val="000E0BB9"/>
    <w:rsid w:val="000F0145"/>
    <w:rsid w:val="000F288B"/>
    <w:rsid w:val="0010119F"/>
    <w:rsid w:val="00122A72"/>
    <w:rsid w:val="00131CC6"/>
    <w:rsid w:val="0014109B"/>
    <w:rsid w:val="001571D0"/>
    <w:rsid w:val="00163819"/>
    <w:rsid w:val="0018615A"/>
    <w:rsid w:val="001877DC"/>
    <w:rsid w:val="00191B50"/>
    <w:rsid w:val="00194CFD"/>
    <w:rsid w:val="00195787"/>
    <w:rsid w:val="001A4AB8"/>
    <w:rsid w:val="001A6554"/>
    <w:rsid w:val="001B3F02"/>
    <w:rsid w:val="001C5C08"/>
    <w:rsid w:val="001C723F"/>
    <w:rsid w:val="001D3599"/>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70DA"/>
    <w:rsid w:val="003804AE"/>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5FAA"/>
    <w:rsid w:val="0044702E"/>
    <w:rsid w:val="00447BEF"/>
    <w:rsid w:val="00450266"/>
    <w:rsid w:val="004629C6"/>
    <w:rsid w:val="00470A8D"/>
    <w:rsid w:val="004720B9"/>
    <w:rsid w:val="00477A20"/>
    <w:rsid w:val="004871F1"/>
    <w:rsid w:val="0048745B"/>
    <w:rsid w:val="004922A2"/>
    <w:rsid w:val="00492F98"/>
    <w:rsid w:val="00494F0A"/>
    <w:rsid w:val="00497259"/>
    <w:rsid w:val="004A1A69"/>
    <w:rsid w:val="004A40F3"/>
    <w:rsid w:val="004B5C84"/>
    <w:rsid w:val="004C1C27"/>
    <w:rsid w:val="004E1CA4"/>
    <w:rsid w:val="004E712D"/>
    <w:rsid w:val="005006DB"/>
    <w:rsid w:val="00513C95"/>
    <w:rsid w:val="005156AC"/>
    <w:rsid w:val="00522544"/>
    <w:rsid w:val="005262A8"/>
    <w:rsid w:val="00561155"/>
    <w:rsid w:val="00571FF2"/>
    <w:rsid w:val="005807EC"/>
    <w:rsid w:val="005853CE"/>
    <w:rsid w:val="005A0B33"/>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4BFE"/>
    <w:rsid w:val="00667772"/>
    <w:rsid w:val="006723C3"/>
    <w:rsid w:val="006757D3"/>
    <w:rsid w:val="0069429E"/>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35ED2"/>
    <w:rsid w:val="008540D8"/>
    <w:rsid w:val="008566DD"/>
    <w:rsid w:val="00892576"/>
    <w:rsid w:val="008C23FF"/>
    <w:rsid w:val="008C6744"/>
    <w:rsid w:val="008F3BD8"/>
    <w:rsid w:val="0090037C"/>
    <w:rsid w:val="00912689"/>
    <w:rsid w:val="009350A3"/>
    <w:rsid w:val="00937A6A"/>
    <w:rsid w:val="00942975"/>
    <w:rsid w:val="00946A34"/>
    <w:rsid w:val="009502A0"/>
    <w:rsid w:val="00951247"/>
    <w:rsid w:val="00973203"/>
    <w:rsid w:val="00992D60"/>
    <w:rsid w:val="009A4E8F"/>
    <w:rsid w:val="009A60CB"/>
    <w:rsid w:val="009C1A02"/>
    <w:rsid w:val="009E113C"/>
    <w:rsid w:val="009F2EB2"/>
    <w:rsid w:val="009F2FAC"/>
    <w:rsid w:val="00A03565"/>
    <w:rsid w:val="00A05241"/>
    <w:rsid w:val="00A21E8F"/>
    <w:rsid w:val="00A30A28"/>
    <w:rsid w:val="00A33729"/>
    <w:rsid w:val="00A40924"/>
    <w:rsid w:val="00A45504"/>
    <w:rsid w:val="00A738FA"/>
    <w:rsid w:val="00A85110"/>
    <w:rsid w:val="00A87093"/>
    <w:rsid w:val="00A93E08"/>
    <w:rsid w:val="00A942C3"/>
    <w:rsid w:val="00AB336E"/>
    <w:rsid w:val="00AC3B53"/>
    <w:rsid w:val="00AD321A"/>
    <w:rsid w:val="00AE0A71"/>
    <w:rsid w:val="00AF32BC"/>
    <w:rsid w:val="00AF3581"/>
    <w:rsid w:val="00AF781E"/>
    <w:rsid w:val="00AF7DA7"/>
    <w:rsid w:val="00B525B8"/>
    <w:rsid w:val="00B54C7E"/>
    <w:rsid w:val="00B66F19"/>
    <w:rsid w:val="00B67441"/>
    <w:rsid w:val="00B72EE9"/>
    <w:rsid w:val="00B82EC1"/>
    <w:rsid w:val="00B85C8F"/>
    <w:rsid w:val="00B86D25"/>
    <w:rsid w:val="00B9643D"/>
    <w:rsid w:val="00BB0870"/>
    <w:rsid w:val="00BB1363"/>
    <w:rsid w:val="00BB598F"/>
    <w:rsid w:val="00BC4F69"/>
    <w:rsid w:val="00BD58B4"/>
    <w:rsid w:val="00BE2F47"/>
    <w:rsid w:val="00BE53BB"/>
    <w:rsid w:val="00BE591B"/>
    <w:rsid w:val="00BF0117"/>
    <w:rsid w:val="00C01D97"/>
    <w:rsid w:val="00C0241D"/>
    <w:rsid w:val="00C107EE"/>
    <w:rsid w:val="00C11C38"/>
    <w:rsid w:val="00C1520A"/>
    <w:rsid w:val="00C154AA"/>
    <w:rsid w:val="00C1654F"/>
    <w:rsid w:val="00C2046E"/>
    <w:rsid w:val="00C30204"/>
    <w:rsid w:val="00C433C3"/>
    <w:rsid w:val="00C44CC3"/>
    <w:rsid w:val="00C50DCE"/>
    <w:rsid w:val="00C5395D"/>
    <w:rsid w:val="00C7600F"/>
    <w:rsid w:val="00C804D0"/>
    <w:rsid w:val="00CA7856"/>
    <w:rsid w:val="00CB5F48"/>
    <w:rsid w:val="00CD2701"/>
    <w:rsid w:val="00CE00C9"/>
    <w:rsid w:val="00CE1A91"/>
    <w:rsid w:val="00CE4C58"/>
    <w:rsid w:val="00CE7B83"/>
    <w:rsid w:val="00D02490"/>
    <w:rsid w:val="00D03194"/>
    <w:rsid w:val="00D11FB6"/>
    <w:rsid w:val="00D15CE1"/>
    <w:rsid w:val="00D166E7"/>
    <w:rsid w:val="00D20659"/>
    <w:rsid w:val="00D24004"/>
    <w:rsid w:val="00D40051"/>
    <w:rsid w:val="00D4570A"/>
    <w:rsid w:val="00D52F83"/>
    <w:rsid w:val="00D72CFE"/>
    <w:rsid w:val="00D734D3"/>
    <w:rsid w:val="00D7605E"/>
    <w:rsid w:val="00D83B02"/>
    <w:rsid w:val="00D901EE"/>
    <w:rsid w:val="00D902D6"/>
    <w:rsid w:val="00D945C1"/>
    <w:rsid w:val="00D97C60"/>
    <w:rsid w:val="00DB435A"/>
    <w:rsid w:val="00DB6F67"/>
    <w:rsid w:val="00DC6924"/>
    <w:rsid w:val="00DE596B"/>
    <w:rsid w:val="00DF5E89"/>
    <w:rsid w:val="00E03B99"/>
    <w:rsid w:val="00E04A34"/>
    <w:rsid w:val="00E1163C"/>
    <w:rsid w:val="00E23909"/>
    <w:rsid w:val="00E2733A"/>
    <w:rsid w:val="00E44B0C"/>
    <w:rsid w:val="00E52524"/>
    <w:rsid w:val="00E578A6"/>
    <w:rsid w:val="00EA06C5"/>
    <w:rsid w:val="00EB6AF5"/>
    <w:rsid w:val="00EB7F69"/>
    <w:rsid w:val="00EC16D9"/>
    <w:rsid w:val="00ED45B4"/>
    <w:rsid w:val="00ED4EB4"/>
    <w:rsid w:val="00ED6095"/>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37D5"/>
    <w:rsid w:val="00FA6B1D"/>
    <w:rsid w:val="00FC1C20"/>
    <w:rsid w:val="00FC1D72"/>
    <w:rsid w:val="00FC2D21"/>
    <w:rsid w:val="00FC4618"/>
    <w:rsid w:val="00FC6894"/>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99"/>
    <w:qFormat/>
    <w:rsid w:val="004773FC"/>
    <w:pPr>
      <w:ind w:left="720"/>
      <w:contextualSpacing/>
    </w:pPr>
  </w:style>
  <w:style w:type="paragraph" w:styleId="NormalWeb">
    <w:name w:val="Normal (Web)"/>
    <w:basedOn w:val="Normal"/>
    <w:uiPriority w:val="99"/>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0">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A7856"/>
    <w:rPr>
      <w:color w:val="605E5C"/>
      <w:shd w:val="clear" w:color="auto" w:fill="E1DFDD"/>
    </w:rPr>
  </w:style>
  <w:style w:type="paragraph" w:customStyle="1" w:styleId="Nivel01">
    <w:name w:val="Nivel 01"/>
    <w:basedOn w:val="Ttulo1"/>
    <w:next w:val="Normal"/>
    <w:qFormat/>
    <w:rsid w:val="00FC1D72"/>
    <w:pPr>
      <w:numPr>
        <w:numId w:val="31"/>
      </w:numPr>
      <w:tabs>
        <w:tab w:val="num" w:pos="360"/>
        <w:tab w:val="left" w:pos="567"/>
      </w:tabs>
      <w:suppressAutoHyphens w:val="0"/>
      <w:ind w:left="0" w:firstLine="0"/>
      <w:jc w:val="both"/>
    </w:pPr>
    <w:rPr>
      <w:rFonts w:ascii="Ecofont_Spranq_eco_Sans" w:eastAsiaTheme="majorEastAsia" w:hAnsi="Ecofont_Spranq_eco_Sans"/>
      <w:b/>
      <w:bCs/>
      <w:color w:val="000000"/>
      <w:sz w:val="20"/>
      <w:szCs w:val="20"/>
    </w:rPr>
  </w:style>
  <w:style w:type="paragraph" w:customStyle="1" w:styleId="textbody">
    <w:name w:val="textbody"/>
    <w:basedOn w:val="Normal"/>
    <w:rsid w:val="00B86D25"/>
    <w:pPr>
      <w:suppressAutoHyphens w:val="0"/>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83764350">
      <w:bodyDiv w:val="1"/>
      <w:marLeft w:val="0"/>
      <w:marRight w:val="0"/>
      <w:marTop w:val="0"/>
      <w:marBottom w:val="0"/>
      <w:divBdr>
        <w:top w:val="none" w:sz="0" w:space="0" w:color="auto"/>
        <w:left w:val="none" w:sz="0" w:space="0" w:color="auto"/>
        <w:bottom w:val="none" w:sz="0" w:space="0" w:color="auto"/>
        <w:right w:val="none" w:sz="0" w:space="0" w:color="auto"/>
      </w:divBdr>
    </w:div>
    <w:div w:id="140848951">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29013057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47163999">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81242487">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65275040">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2132627">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47911104">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66964514">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gu.gov.br/page/download/index/id/38509486" TargetMode="External"/><Relationship Id="rId4" Type="http://schemas.openxmlformats.org/officeDocument/2006/relationships/settings" Target="settings.xml"/><Relationship Id="rId9" Type="http://schemas.openxmlformats.org/officeDocument/2006/relationships/hyperlink" Target="https://app.uff.br/sia/compr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872B-B76F-4411-8D86-39D6F6B1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3288</Words>
  <Characters>17760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3</cp:revision>
  <cp:lastPrinted>2019-06-11T23:15:00Z</cp:lastPrinted>
  <dcterms:created xsi:type="dcterms:W3CDTF">2019-12-02T03:12:00Z</dcterms:created>
  <dcterms:modified xsi:type="dcterms:W3CDTF">2019-12-02T03:15:00Z</dcterms:modified>
  <dc:language>pt-BR</dc:language>
</cp:coreProperties>
</file>