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F534BB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8" o:title=""/>
          </v:shape>
        </w:pict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261978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0332B2" w:rsidRDefault="000332B2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283E27">
        <w:rPr>
          <w:rFonts w:ascii="Verdana" w:hAnsi="Verdana"/>
          <w:b/>
          <w:bCs/>
          <w:sz w:val="18"/>
          <w:szCs w:val="18"/>
        </w:rPr>
        <w:t>18/2018/AD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2E4A57">
        <w:rPr>
          <w:rFonts w:ascii="Verdana" w:hAnsi="Verdana"/>
          <w:sz w:val="18"/>
          <w:szCs w:val="18"/>
        </w:rPr>
        <w:t>23069.043.169/2017-11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2E4A57">
        <w:rPr>
          <w:rFonts w:ascii="Verdana" w:hAnsi="Verdana"/>
          <w:b w:val="0"/>
          <w:color w:val="000000"/>
          <w:sz w:val="18"/>
          <w:szCs w:val="18"/>
        </w:rPr>
        <w:t>23069.043.169/2017-11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cável tendo em vista a necessidade de </w:t>
      </w:r>
      <w:proofErr w:type="gramStart"/>
      <w:r>
        <w:rPr>
          <w:rFonts w:ascii="Verdana" w:hAnsi="Verdana"/>
          <w:sz w:val="18"/>
          <w:szCs w:val="18"/>
        </w:rPr>
        <w:t>agilização</w:t>
      </w:r>
      <w:proofErr w:type="gramEnd"/>
      <w:r>
        <w:rPr>
          <w:rFonts w:ascii="Verdana" w:hAnsi="Verdana"/>
          <w:sz w:val="18"/>
          <w:szCs w:val="18"/>
        </w:rPr>
        <w:t xml:space="preserve">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E9516A" w:rsidP="00CA5412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Pr="002E4A57" w:rsidRDefault="00E87F0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E4A57">
        <w:rPr>
          <w:rFonts w:ascii="Verdana" w:hAnsi="Verdana"/>
          <w:sz w:val="18"/>
          <w:szCs w:val="18"/>
        </w:rPr>
        <w:t xml:space="preserve">– Contratação de empresa para </w:t>
      </w:r>
      <w:r w:rsidRPr="002E4A57">
        <w:rPr>
          <w:rFonts w:ascii="Verdana" w:hAnsi="Verdana"/>
          <w:bCs/>
          <w:sz w:val="18"/>
          <w:szCs w:val="18"/>
        </w:rPr>
        <w:t xml:space="preserve">execução </w:t>
      </w:r>
      <w:r w:rsidRPr="002E4A57">
        <w:rPr>
          <w:rFonts w:ascii="Verdana" w:hAnsi="Verdana"/>
          <w:sz w:val="18"/>
          <w:szCs w:val="18"/>
        </w:rPr>
        <w:t xml:space="preserve">de obra </w:t>
      </w:r>
      <w:r w:rsidR="002E4A57" w:rsidRPr="002E4A57">
        <w:rPr>
          <w:rFonts w:ascii="Verdana" w:hAnsi="Verdana" w:cs="Arial"/>
          <w:color w:val="000000"/>
          <w:sz w:val="18"/>
          <w:szCs w:val="18"/>
        </w:rPr>
        <w:t>de reforma de salas do 7º pavimento do pr</w:t>
      </w:r>
      <w:r w:rsidR="002E4A57" w:rsidRPr="002E4A57">
        <w:rPr>
          <w:rFonts w:ascii="Verdana" w:hAnsi="Verdana" w:cs="Arial"/>
          <w:color w:val="000000"/>
          <w:sz w:val="18"/>
          <w:szCs w:val="18"/>
        </w:rPr>
        <w:t>é</w:t>
      </w:r>
      <w:r w:rsidR="002E4A57" w:rsidRPr="002E4A57">
        <w:rPr>
          <w:rFonts w:ascii="Verdana" w:hAnsi="Verdana" w:cs="Arial"/>
          <w:color w:val="000000"/>
          <w:sz w:val="18"/>
          <w:szCs w:val="18"/>
        </w:rPr>
        <w:t xml:space="preserve">dio da Faculdade de </w:t>
      </w:r>
      <w:r w:rsidR="002E4A57" w:rsidRPr="002E4A57">
        <w:rPr>
          <w:rFonts w:ascii="Verdana" w:hAnsi="Verdana" w:cs="Arial"/>
          <w:sz w:val="18"/>
          <w:szCs w:val="18"/>
        </w:rPr>
        <w:t>Administração e ciências contábeis</w:t>
      </w:r>
      <w:r w:rsidR="002E4A57" w:rsidRPr="002E4A57">
        <w:rPr>
          <w:rFonts w:ascii="Verdana" w:hAnsi="Verdana" w:cs="Arial"/>
          <w:color w:val="000000"/>
          <w:sz w:val="18"/>
          <w:szCs w:val="18"/>
        </w:rPr>
        <w:t xml:space="preserve">, localizado no Campus do </w:t>
      </w:r>
      <w:proofErr w:type="spellStart"/>
      <w:r w:rsidR="002E4A57" w:rsidRPr="002E4A57">
        <w:rPr>
          <w:rFonts w:ascii="Verdana" w:hAnsi="Verdana" w:cs="Arial"/>
          <w:color w:val="000000"/>
          <w:sz w:val="18"/>
          <w:szCs w:val="18"/>
        </w:rPr>
        <w:t>Valonguinho</w:t>
      </w:r>
      <w:proofErr w:type="spellEnd"/>
      <w:r w:rsidR="002E4A57" w:rsidRPr="002E4A57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2E4A57" w:rsidRPr="002E4A57">
        <w:rPr>
          <w:rFonts w:ascii="Verdana" w:hAnsi="Verdana"/>
          <w:sz w:val="18"/>
          <w:szCs w:val="18"/>
        </w:rPr>
        <w:t xml:space="preserve">situado à Avenida Visconde do Rio Branco </w:t>
      </w:r>
      <w:proofErr w:type="gramStart"/>
      <w:r w:rsidR="002E4A57" w:rsidRPr="002E4A57">
        <w:rPr>
          <w:rFonts w:ascii="Verdana" w:hAnsi="Verdana"/>
          <w:sz w:val="18"/>
          <w:szCs w:val="18"/>
        </w:rPr>
        <w:t>s/n.</w:t>
      </w:r>
      <w:proofErr w:type="gramEnd"/>
      <w:r w:rsidR="002E4A57" w:rsidRPr="002E4A57">
        <w:rPr>
          <w:rFonts w:ascii="Verdana" w:hAnsi="Verdana"/>
          <w:sz w:val="18"/>
          <w:szCs w:val="18"/>
        </w:rPr>
        <w:t xml:space="preserve">º, </w:t>
      </w:r>
      <w:r w:rsidR="002E4A57" w:rsidRPr="002E4A57">
        <w:rPr>
          <w:rFonts w:ascii="Verdana" w:hAnsi="Verdana" w:cs="Arial"/>
          <w:color w:val="000000"/>
          <w:sz w:val="18"/>
          <w:szCs w:val="18"/>
        </w:rPr>
        <w:t>Centro, Niterói - RJ</w:t>
      </w:r>
      <w:r w:rsidR="002E4A57" w:rsidRPr="002E4A57">
        <w:rPr>
          <w:rFonts w:ascii="Verdana" w:hAnsi="Verdana"/>
          <w:sz w:val="18"/>
          <w:szCs w:val="18"/>
        </w:rPr>
        <w:t>,</w:t>
      </w:r>
      <w:r w:rsidR="00F534BB">
        <w:rPr>
          <w:rFonts w:ascii="Verdana" w:hAnsi="Verdana"/>
          <w:sz w:val="18"/>
          <w:szCs w:val="18"/>
        </w:rPr>
        <w:t xml:space="preserve"> </w:t>
      </w:r>
      <w:r w:rsidRPr="002E4A57">
        <w:rPr>
          <w:rFonts w:ascii="Verdana" w:hAnsi="Verdana"/>
          <w:sz w:val="18"/>
          <w:szCs w:val="18"/>
        </w:rPr>
        <w:t>de acordo com as especif</w:t>
      </w:r>
      <w:r w:rsidRPr="002E4A57">
        <w:rPr>
          <w:rFonts w:ascii="Verdana" w:hAnsi="Verdana"/>
          <w:sz w:val="18"/>
          <w:szCs w:val="18"/>
        </w:rPr>
        <w:t>i</w:t>
      </w:r>
      <w:r w:rsidRPr="002E4A57">
        <w:rPr>
          <w:rFonts w:ascii="Verdana" w:hAnsi="Verdana"/>
          <w:sz w:val="18"/>
          <w:szCs w:val="18"/>
        </w:rPr>
        <w:t>cações dos serviços e planilha com orçamento estimativo relacionados nos Anexos V e VI.</w:t>
      </w:r>
    </w:p>
    <w:p w:rsidR="00CA5412" w:rsidRPr="00CA5412" w:rsidRDefault="00CA5412" w:rsidP="00CA5412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C40022">
        <w:rPr>
          <w:rFonts w:ascii="Verdana" w:hAnsi="Verdana"/>
          <w:sz w:val="18"/>
          <w:szCs w:val="18"/>
          <w:lang w:val="en-US"/>
        </w:rPr>
        <w:t>Edital</w:t>
      </w:r>
      <w:proofErr w:type="spellEnd"/>
      <w:r w:rsidRPr="00C40022">
        <w:rPr>
          <w:rFonts w:ascii="Verdana" w:hAnsi="Verdana"/>
          <w:sz w:val="18"/>
          <w:szCs w:val="18"/>
          <w:lang w:val="en-US"/>
        </w:rPr>
        <w:t xml:space="preserve">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283E27">
        <w:rPr>
          <w:rFonts w:ascii="Verdana" w:hAnsi="Verdana"/>
          <w:b/>
          <w:bCs/>
          <w:sz w:val="18"/>
          <w:szCs w:val="18"/>
          <w:lang w:val="en-US"/>
        </w:rPr>
        <w:t>18/2018/AD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Processo administrativo nº </w:t>
      </w:r>
      <w:r w:rsidR="002E4A57">
        <w:rPr>
          <w:rFonts w:ascii="Verdana" w:hAnsi="Verdana"/>
          <w:b/>
          <w:sz w:val="18"/>
          <w:szCs w:val="18"/>
        </w:rPr>
        <w:t>23069.043.169/2017-11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ana de seus correspondentes nos custos unitários de referência do Sistema Nacional de Pesquisa 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, excetuados os itens caracterizados como mo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n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–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</w:t>
      </w:r>
      <w:proofErr w:type="gramStart"/>
      <w:r>
        <w:rPr>
          <w:rFonts w:ascii="Verdana" w:hAnsi="Verdana" w:cs="Arial"/>
          <w:sz w:val="18"/>
          <w:szCs w:val="18"/>
        </w:rPr>
        <w:t>)</w:t>
      </w:r>
      <w:proofErr w:type="gramEnd"/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A41F78" w:rsidRPr="00A41F78" w:rsidRDefault="00A41F78" w:rsidP="00A41F78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C27A95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BF73C3">
        <w:rPr>
          <w:rFonts w:ascii="Verdana" w:hAnsi="Verdana" w:cs="Times New Roman"/>
          <w:sz w:val="18"/>
          <w:szCs w:val="18"/>
        </w:rPr>
        <w:t xml:space="preserve">- </w:t>
      </w:r>
      <w:r w:rsidRPr="00BF73C3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dos recursos consignados no Orçamento da Universidade Federal Fluminense, </w:t>
      </w:r>
      <w:r w:rsidR="00861687" w:rsidRPr="00C27A95">
        <w:rPr>
          <w:rFonts w:ascii="Verdana" w:eastAsia="MS Mincho" w:hAnsi="Verdana" w:cs="Times New Roman"/>
          <w:sz w:val="18"/>
          <w:szCs w:val="18"/>
        </w:rPr>
        <w:t>PTRES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 xml:space="preserve"> 108258</w:t>
      </w:r>
      <w:r w:rsidR="00861687" w:rsidRPr="00C27A95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C27A95">
        <w:rPr>
          <w:rFonts w:ascii="Verdana" w:eastAsia="MS Mincho" w:hAnsi="Verdana" w:cs="Times New Roman"/>
          <w:sz w:val="18"/>
          <w:szCs w:val="18"/>
        </w:rPr>
        <w:t>elemento de despesa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 xml:space="preserve"> 339039</w:t>
      </w:r>
      <w:r w:rsidRPr="00C27A95">
        <w:rPr>
          <w:rFonts w:ascii="Verdana" w:eastAsia="MS Mincho" w:hAnsi="Verdana" w:cs="Times New Roman"/>
          <w:sz w:val="18"/>
          <w:szCs w:val="18"/>
        </w:rPr>
        <w:t>, fonte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 xml:space="preserve"> 8250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, conforme nota de </w:t>
      </w:r>
      <w:proofErr w:type="spellStart"/>
      <w:r w:rsidRPr="00C27A95">
        <w:rPr>
          <w:rFonts w:ascii="Verdana" w:eastAsia="MS Mincho" w:hAnsi="Verdana" w:cs="Times New Roman"/>
          <w:sz w:val="18"/>
          <w:szCs w:val="18"/>
        </w:rPr>
        <w:t>pré</w:t>
      </w:r>
      <w:proofErr w:type="spellEnd"/>
      <w:r w:rsidRPr="00C27A95">
        <w:rPr>
          <w:rFonts w:ascii="Verdana" w:eastAsia="MS Mincho" w:hAnsi="Verdana" w:cs="Times New Roman"/>
          <w:sz w:val="18"/>
          <w:szCs w:val="18"/>
        </w:rPr>
        <w:t>-empenho n.º 20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>18</w:t>
      </w:r>
      <w:r w:rsidRPr="00C27A95">
        <w:rPr>
          <w:rFonts w:ascii="Verdana" w:eastAsia="MS Mincho" w:hAnsi="Verdana" w:cs="Times New Roman"/>
          <w:sz w:val="18"/>
          <w:szCs w:val="18"/>
        </w:rPr>
        <w:t>PE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>800022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 </w:t>
      </w:r>
      <w:r w:rsidR="00F21C75" w:rsidRPr="00C27A95">
        <w:rPr>
          <w:rFonts w:ascii="Verdana" w:eastAsia="MS Mincho" w:hAnsi="Verdana" w:cs="Times New Roman"/>
          <w:sz w:val="18"/>
          <w:szCs w:val="18"/>
        </w:rPr>
        <w:t xml:space="preserve">localizada 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às fls. </w:t>
      </w:r>
      <w:r w:rsidR="002E4A57" w:rsidRPr="00C27A95">
        <w:rPr>
          <w:rFonts w:ascii="Verdana" w:eastAsia="MS Mincho" w:hAnsi="Verdana" w:cs="Times New Roman"/>
          <w:sz w:val="18"/>
          <w:szCs w:val="18"/>
        </w:rPr>
        <w:t xml:space="preserve">104 </w:t>
      </w:r>
      <w:r w:rsidRPr="00C27A95">
        <w:rPr>
          <w:rFonts w:ascii="Verdana" w:eastAsia="MS Mincho" w:hAnsi="Verdana" w:cs="Times New Roman"/>
          <w:sz w:val="18"/>
          <w:szCs w:val="18"/>
        </w:rPr>
        <w:t>do processo.</w:t>
      </w:r>
    </w:p>
    <w:p w:rsidR="00B81613" w:rsidRPr="00CA5412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C27A95">
        <w:rPr>
          <w:rFonts w:ascii="Verdana" w:eastAsia="MS Mincho" w:hAnsi="Verdana" w:cs="Times New Roman"/>
          <w:sz w:val="18"/>
          <w:szCs w:val="18"/>
        </w:rPr>
        <w:t>–</w:t>
      </w:r>
      <w:r w:rsidR="006E430C" w:rsidRPr="00C27A95">
        <w:rPr>
          <w:rFonts w:ascii="Verdana" w:eastAsia="MS Mincho" w:hAnsi="Verdana" w:cs="Times New Roman"/>
          <w:sz w:val="18"/>
          <w:szCs w:val="18"/>
        </w:rPr>
        <w:t xml:space="preserve"> 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C27A95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C27A95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C27A95">
        <w:rPr>
          <w:rFonts w:ascii="Verdana" w:hAnsi="Verdana"/>
          <w:sz w:val="18"/>
          <w:szCs w:val="18"/>
        </w:rPr>
        <w:t>para a</w:t>
      </w:r>
      <w:r w:rsidR="006E430C" w:rsidRPr="00C27A95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C27A95">
        <w:rPr>
          <w:rFonts w:ascii="Verdana" w:hAnsi="Verdana"/>
          <w:sz w:val="18"/>
          <w:szCs w:val="18"/>
        </w:rPr>
        <w:t xml:space="preserve">o </w:t>
      </w:r>
      <w:r w:rsidR="006E430C" w:rsidRPr="00C27A95">
        <w:rPr>
          <w:rFonts w:ascii="Verdana" w:hAnsi="Verdana"/>
          <w:sz w:val="18"/>
          <w:szCs w:val="18"/>
        </w:rPr>
        <w:t xml:space="preserve">em </w:t>
      </w:r>
      <w:r w:rsidR="006E430C" w:rsidRPr="00C27A95">
        <w:rPr>
          <w:rFonts w:ascii="Verdana" w:hAnsi="Verdana"/>
          <w:b/>
          <w:sz w:val="18"/>
          <w:szCs w:val="18"/>
        </w:rPr>
        <w:t xml:space="preserve">R$ </w:t>
      </w:r>
      <w:r w:rsidR="00C27A95" w:rsidRPr="00C27A95">
        <w:rPr>
          <w:rFonts w:ascii="Verdana" w:hAnsi="Verdana"/>
          <w:b/>
          <w:sz w:val="18"/>
          <w:szCs w:val="18"/>
        </w:rPr>
        <w:t xml:space="preserve">53.565,10 </w:t>
      </w:r>
      <w:r w:rsidR="006E430C" w:rsidRPr="00C27A95">
        <w:rPr>
          <w:rFonts w:ascii="Verdana" w:hAnsi="Verdana"/>
          <w:b/>
          <w:sz w:val="18"/>
          <w:szCs w:val="18"/>
        </w:rPr>
        <w:t>(</w:t>
      </w:r>
      <w:r w:rsidR="00C27A95" w:rsidRPr="00C27A95">
        <w:rPr>
          <w:rFonts w:ascii="Verdana" w:hAnsi="Verdana"/>
          <w:b/>
          <w:sz w:val="18"/>
          <w:szCs w:val="18"/>
        </w:rPr>
        <w:t xml:space="preserve">cinquenta e três </w:t>
      </w:r>
      <w:r w:rsidR="006E430C" w:rsidRPr="00C27A95">
        <w:rPr>
          <w:rFonts w:ascii="Verdana" w:hAnsi="Verdana"/>
          <w:b/>
          <w:sz w:val="18"/>
          <w:szCs w:val="18"/>
        </w:rPr>
        <w:t xml:space="preserve">mil, </w:t>
      </w:r>
      <w:r w:rsidR="00C27A95" w:rsidRPr="00C27A95">
        <w:rPr>
          <w:rFonts w:ascii="Verdana" w:hAnsi="Verdana"/>
          <w:b/>
          <w:sz w:val="18"/>
          <w:szCs w:val="18"/>
        </w:rPr>
        <w:t xml:space="preserve">quinhentos e sessenta e cinco </w:t>
      </w:r>
      <w:r w:rsidR="006E430C" w:rsidRPr="00C27A95">
        <w:rPr>
          <w:rFonts w:ascii="Verdana" w:hAnsi="Verdana"/>
          <w:b/>
          <w:sz w:val="18"/>
          <w:szCs w:val="18"/>
        </w:rPr>
        <w:t xml:space="preserve">reais e </w:t>
      </w:r>
      <w:r w:rsidR="00C27A95" w:rsidRPr="00C27A95">
        <w:rPr>
          <w:rFonts w:ascii="Verdana" w:hAnsi="Verdana"/>
          <w:b/>
          <w:sz w:val="18"/>
          <w:szCs w:val="18"/>
        </w:rPr>
        <w:t xml:space="preserve">dez </w:t>
      </w:r>
      <w:r w:rsidR="006E430C" w:rsidRPr="00C27A95">
        <w:rPr>
          <w:rFonts w:ascii="Verdana" w:hAnsi="Verdana"/>
          <w:b/>
          <w:sz w:val="18"/>
          <w:szCs w:val="18"/>
        </w:rPr>
        <w:t>centavos)</w:t>
      </w:r>
      <w:r w:rsidR="006E430C" w:rsidRPr="00C27A95">
        <w:rPr>
          <w:rFonts w:ascii="Verdana" w:hAnsi="Verdana"/>
          <w:sz w:val="18"/>
          <w:szCs w:val="18"/>
        </w:rPr>
        <w:t xml:space="preserve">, conforme o orçamento estimativo disposto no Anexo </w:t>
      </w:r>
      <w:r w:rsidR="00695946" w:rsidRPr="00C27A95">
        <w:rPr>
          <w:rFonts w:ascii="Verdana" w:hAnsi="Verdana"/>
          <w:sz w:val="18"/>
          <w:szCs w:val="18"/>
        </w:rPr>
        <w:t>V</w:t>
      </w:r>
      <w:r w:rsidR="008E5EED" w:rsidRPr="00C27A95">
        <w:rPr>
          <w:rFonts w:ascii="Verdana" w:hAnsi="Verdana"/>
          <w:sz w:val="18"/>
          <w:szCs w:val="18"/>
        </w:rPr>
        <w:t>I</w:t>
      </w:r>
      <w:r w:rsidR="006E430C" w:rsidRPr="00C27A95">
        <w:rPr>
          <w:rFonts w:ascii="Verdana" w:hAnsi="Verdana"/>
          <w:sz w:val="18"/>
          <w:szCs w:val="18"/>
        </w:rPr>
        <w:t xml:space="preserve">I – </w:t>
      </w:r>
      <w:r w:rsidR="00695946" w:rsidRPr="00C27A95">
        <w:rPr>
          <w:rFonts w:ascii="Verdana" w:hAnsi="Verdana"/>
          <w:sz w:val="18"/>
          <w:szCs w:val="18"/>
        </w:rPr>
        <w:t xml:space="preserve">Planilha de </w:t>
      </w:r>
      <w:r w:rsidR="004C6CCA" w:rsidRPr="00C27A95">
        <w:rPr>
          <w:rFonts w:ascii="Verdana" w:hAnsi="Verdana"/>
          <w:sz w:val="18"/>
          <w:szCs w:val="18"/>
        </w:rPr>
        <w:t>Orç</w:t>
      </w:r>
      <w:r w:rsidR="004C6CCA" w:rsidRPr="00C27A95">
        <w:rPr>
          <w:rFonts w:ascii="Verdana" w:hAnsi="Verdana"/>
          <w:sz w:val="18"/>
          <w:szCs w:val="18"/>
        </w:rPr>
        <w:t>a</w:t>
      </w:r>
      <w:r w:rsidR="004C6CCA" w:rsidRPr="00BF73C3">
        <w:rPr>
          <w:rFonts w:ascii="Verdana" w:hAnsi="Verdana"/>
          <w:sz w:val="18"/>
          <w:szCs w:val="18"/>
        </w:rPr>
        <w:t>mento</w:t>
      </w:r>
      <w:r w:rsidR="006E430C" w:rsidRPr="00BF73C3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9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proofErr w:type="gramStart"/>
      <w:r w:rsidR="00695946" w:rsidRPr="00BF73C3">
        <w:rPr>
          <w:rFonts w:ascii="Verdana" w:hAnsi="Verdana"/>
          <w:sz w:val="18"/>
          <w:szCs w:val="18"/>
        </w:rPr>
        <w:t xml:space="preserve"> .</w:t>
      </w:r>
      <w:proofErr w:type="gramEnd"/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F534BB" w:rsidP="00261978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30</w:t>
            </w:r>
            <w:bookmarkStart w:id="0" w:name="_GoBack"/>
            <w:bookmarkEnd w:id="0"/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00111BF0">
              <w:rPr>
                <w:rFonts w:ascii="Verdana" w:hAnsi="Verdana"/>
                <w:b/>
                <w:bCs/>
                <w:sz w:val="18"/>
                <w:szCs w:val="18"/>
              </w:rPr>
              <w:t>Out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00261978">
              <w:rPr>
                <w:rFonts w:ascii="Verdana" w:hAnsi="Verdan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261978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0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1" w:history="1">
        <w:r w:rsidR="007245FA" w:rsidRPr="000442F9">
          <w:rPr>
            <w:rStyle w:val="Hyperlink"/>
            <w:rFonts w:ascii="Verdana" w:hAnsi="Verdana"/>
            <w:sz w:val="18"/>
            <w:szCs w:val="18"/>
          </w:rPr>
          <w:t>luiz_affonso@id.uff.br</w:t>
        </w:r>
      </w:hyperlink>
      <w:proofErr w:type="gramStart"/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proofErr w:type="gramEnd"/>
      <w:r>
        <w:rPr>
          <w:rFonts w:ascii="Verdana" w:hAnsi="Verdana"/>
          <w:sz w:val="18"/>
          <w:szCs w:val="18"/>
        </w:rPr>
        <w:t>para a Coordenadoria de Arquitetura/</w:t>
      </w:r>
      <w:proofErr w:type="spellStart"/>
      <w:r>
        <w:rPr>
          <w:rFonts w:ascii="Verdana" w:hAnsi="Verdana"/>
          <w:sz w:val="18"/>
          <w:szCs w:val="18"/>
        </w:rPr>
        <w:t>CArq</w:t>
      </w:r>
      <w:proofErr w:type="spellEnd"/>
      <w:r>
        <w:rPr>
          <w:rFonts w:ascii="Verdana" w:hAnsi="Verdana"/>
          <w:sz w:val="18"/>
          <w:szCs w:val="18"/>
        </w:rPr>
        <w:t xml:space="preserve">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Rua Visconde do Rio Branco s/nº, Campus do </w:t>
      </w:r>
      <w:proofErr w:type="spellStart"/>
      <w:r>
        <w:rPr>
          <w:rFonts w:ascii="Verdana" w:hAnsi="Verdana"/>
          <w:sz w:val="18"/>
          <w:szCs w:val="18"/>
        </w:rPr>
        <w:t>Gragoatá</w:t>
      </w:r>
      <w:proofErr w:type="spellEnd"/>
      <w:r>
        <w:rPr>
          <w:rFonts w:ascii="Verdana" w:hAnsi="Verdana"/>
          <w:sz w:val="18"/>
          <w:szCs w:val="18"/>
        </w:rPr>
        <w:t>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 xml:space="preserve">- Os pedidos de esclarecimentos referentes </w:t>
      </w:r>
      <w:proofErr w:type="gramStart"/>
      <w:r w:rsidRPr="00512822">
        <w:rPr>
          <w:rFonts w:ascii="Verdana" w:hAnsi="Verdana"/>
          <w:sz w:val="18"/>
          <w:szCs w:val="18"/>
        </w:rPr>
        <w:t>a</w:t>
      </w:r>
      <w:proofErr w:type="gramEnd"/>
      <w:r w:rsidRPr="00512822">
        <w:rPr>
          <w:rFonts w:ascii="Verdana" w:hAnsi="Verdana"/>
          <w:sz w:val="18"/>
          <w:szCs w:val="18"/>
        </w:rPr>
        <w:t xml:space="preserve">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2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8B0CCF" w:rsidRPr="008B0CCF" w:rsidRDefault="008B0CCF" w:rsidP="008B0CCF">
      <w:pPr>
        <w:widowControl w:val="0"/>
        <w:suppressAutoHyphens/>
        <w:spacing w:before="120" w:after="120"/>
        <w:ind w:left="360"/>
        <w:jc w:val="both"/>
        <w:rPr>
          <w:rFonts w:ascii="Verdana" w:hAnsi="Verdana"/>
          <w:sz w:val="18"/>
          <w:szCs w:val="18"/>
        </w:rPr>
      </w:pP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– Especificação dos Serviços 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de BDI (Anexo VI-C)</w:t>
      </w:r>
      <w:r w:rsidR="00D40C3B">
        <w:rPr>
          <w:rFonts w:ascii="Verdana" w:hAnsi="Verdana"/>
          <w:sz w:val="18"/>
          <w:szCs w:val="18"/>
        </w:rPr>
        <w:t>;</w:t>
      </w:r>
    </w:p>
    <w:p w:rsidR="00583D41" w:rsidRPr="00BF73C3" w:rsidRDefault="00583D41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dos Encargos Sociais (Anexo V</w:t>
      </w:r>
      <w:r w:rsidR="00D533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-D)</w:t>
      </w:r>
    </w:p>
    <w:p w:rsidR="00E9516A" w:rsidRPr="00BE563D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 xml:space="preserve">; </w:t>
      </w:r>
      <w:proofErr w:type="gramStart"/>
      <w:r w:rsidR="00D40C3B">
        <w:rPr>
          <w:rFonts w:ascii="Verdana" w:hAnsi="Verdana"/>
          <w:sz w:val="18"/>
          <w:szCs w:val="18"/>
        </w:rPr>
        <w:t>e</w:t>
      </w:r>
      <w:proofErr w:type="gramEnd"/>
    </w:p>
    <w:p w:rsidR="00E339C2" w:rsidRPr="00066005" w:rsidRDefault="0066607C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66005">
        <w:rPr>
          <w:rFonts w:ascii="Verdana" w:hAnsi="Verdana"/>
          <w:sz w:val="18"/>
          <w:szCs w:val="18"/>
        </w:rPr>
        <w:t xml:space="preserve">– Projetos de arquitetura, instalações elétricas e </w:t>
      </w:r>
      <w:r w:rsidR="00E520ED" w:rsidRPr="00066005">
        <w:rPr>
          <w:rFonts w:ascii="Verdana" w:hAnsi="Verdana"/>
          <w:sz w:val="18"/>
          <w:szCs w:val="18"/>
        </w:rPr>
        <w:t>lógicas</w:t>
      </w:r>
      <w:r w:rsidR="00B305B4" w:rsidRPr="00066005">
        <w:rPr>
          <w:rFonts w:ascii="Verdana" w:hAnsi="Verdana"/>
          <w:sz w:val="18"/>
          <w:szCs w:val="18"/>
        </w:rPr>
        <w:t xml:space="preserve"> (Anexo </w:t>
      </w:r>
      <w:r w:rsidR="000D4F7C" w:rsidRPr="00066005">
        <w:rPr>
          <w:rFonts w:ascii="Verdana" w:hAnsi="Verdana"/>
          <w:sz w:val="18"/>
          <w:szCs w:val="18"/>
        </w:rPr>
        <w:t>VII</w:t>
      </w:r>
      <w:r w:rsidR="0022008F" w:rsidRPr="00066005">
        <w:rPr>
          <w:rFonts w:ascii="Verdana" w:hAnsi="Verdana"/>
          <w:sz w:val="18"/>
          <w:szCs w:val="18"/>
        </w:rPr>
        <w:t>I</w:t>
      </w:r>
      <w:r w:rsidR="00B305B4" w:rsidRPr="00066005">
        <w:rPr>
          <w:rFonts w:ascii="Verdana" w:hAnsi="Verdana"/>
          <w:sz w:val="18"/>
          <w:szCs w:val="18"/>
        </w:rPr>
        <w:t>)</w:t>
      </w:r>
      <w:r w:rsidRPr="00066005">
        <w:rPr>
          <w:rFonts w:ascii="Verdana" w:hAnsi="Verdana"/>
          <w:sz w:val="18"/>
          <w:szCs w:val="18"/>
        </w:rPr>
        <w:t>.</w:t>
      </w:r>
    </w:p>
    <w:p w:rsidR="00405031" w:rsidRPr="00405031" w:rsidRDefault="00405031" w:rsidP="0040503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lastRenderedPageBreak/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="001F1BD8">
        <w:rPr>
          <w:rFonts w:ascii="Verdana" w:hAnsi="Verdana"/>
          <w:b/>
          <w:sz w:val="18"/>
          <w:szCs w:val="18"/>
        </w:rPr>
        <w:t xml:space="preserve"> ou no Conselho de Arquitetura e Urbanismo</w:t>
      </w:r>
      <w:r w:rsidR="00FB2E52">
        <w:rPr>
          <w:rFonts w:ascii="Verdana" w:hAnsi="Verdana"/>
          <w:b/>
          <w:sz w:val="18"/>
          <w:szCs w:val="18"/>
        </w:rPr>
        <w:t xml:space="preserve"> (CAU)</w:t>
      </w:r>
      <w:r w:rsidRPr="00BF73C3">
        <w:rPr>
          <w:rFonts w:ascii="Verdana" w:hAnsi="Verdana"/>
          <w:sz w:val="18"/>
          <w:szCs w:val="18"/>
        </w:rPr>
        <w:t>, do domicílio ou s</w:t>
      </w:r>
      <w:r w:rsidRPr="00BF73C3">
        <w:rPr>
          <w:rFonts w:ascii="Verdana" w:hAnsi="Verdana"/>
          <w:sz w:val="18"/>
          <w:szCs w:val="18"/>
        </w:rPr>
        <w:t>e</w:t>
      </w:r>
      <w:r w:rsidRPr="00BF73C3">
        <w:rPr>
          <w:rFonts w:ascii="Verdana" w:hAnsi="Verdana"/>
          <w:sz w:val="18"/>
          <w:szCs w:val="18"/>
        </w:rPr>
        <w:t>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 xml:space="preserve">dez Geral (LG), de Solvência Geral (SG) e Liquidez Corrente (LC) maior do que </w:t>
      </w:r>
      <w:proofErr w:type="gramStart"/>
      <w:r w:rsidRPr="003A2E00">
        <w:rPr>
          <w:rFonts w:ascii="Verdana" w:hAnsi="Verdana"/>
          <w:sz w:val="18"/>
          <w:szCs w:val="18"/>
        </w:rPr>
        <w:t>1</w:t>
      </w:r>
      <w:proofErr w:type="gramEnd"/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F02511" w:rsidRPr="00066005" w:rsidRDefault="00F02511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6005">
        <w:rPr>
          <w:rFonts w:ascii="Verdana" w:hAnsi="Verdana"/>
          <w:sz w:val="18"/>
          <w:szCs w:val="18"/>
        </w:rPr>
        <w:t>– Empresa que esteja cadastrada no SICAF como microempresa – ME ou empresa de pequeno porte – EPP, pois o valor estimado da licitação pela administração é inferior ou igual a R$ 80.000,00. (Art. 6º do Decreto 6.204 de 05 de setembro de 2007, que regulamenta a Lei Complementar 123 de 14 de dezembro de 2006</w:t>
      </w:r>
      <w:r w:rsidR="002018C2" w:rsidRPr="00066005">
        <w:rPr>
          <w:rFonts w:ascii="Verdana" w:hAnsi="Verdana"/>
          <w:sz w:val="18"/>
          <w:szCs w:val="18"/>
        </w:rPr>
        <w:t xml:space="preserve"> e art. 48 inciso I da Lei Complementar n.º 147 de 07 de agosto de 2014</w:t>
      </w:r>
      <w:proofErr w:type="gramStart"/>
      <w:r w:rsidRPr="00066005">
        <w:rPr>
          <w:rFonts w:ascii="Verdana" w:hAnsi="Verdana"/>
          <w:sz w:val="18"/>
          <w:szCs w:val="18"/>
        </w:rPr>
        <w:t>)</w:t>
      </w:r>
      <w:proofErr w:type="gramEnd"/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pessoa física ou jurídica que elaborar 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 - pessoa jurídica que participar de consórcio responsável pela elaboração do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pessoa jurídica na qual o autor do projeto básico ou executivo seja administrador, sócio com mais de cinco por cento do capital votante, controlador, gerente, respo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sável técnico ou subcontratado;</w:t>
      </w:r>
    </w:p>
    <w:p w:rsidR="000563EA" w:rsidRPr="000A1E9D" w:rsidRDefault="000563EA" w:rsidP="000563EA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para fins do disposto nos subitens anteriores, considera-se participação i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direta a existência de qualquer vínculo de natureza técnica, comercial, ec</w:t>
      </w:r>
      <w:r w:rsidRPr="000A1E9D">
        <w:rPr>
          <w:rFonts w:ascii="Verdana" w:hAnsi="Verdana" w:cs="Arial"/>
          <w:color w:val="000000"/>
          <w:sz w:val="18"/>
          <w:szCs w:val="18"/>
        </w:rPr>
        <w:t>o</w:t>
      </w:r>
      <w:r w:rsidRPr="000A1E9D">
        <w:rPr>
          <w:rFonts w:ascii="Verdana" w:hAnsi="Verdana" w:cs="Arial"/>
          <w:color w:val="000000"/>
          <w:sz w:val="18"/>
          <w:szCs w:val="18"/>
        </w:rPr>
        <w:t>nômica, financeira ou trabalhista entre o autor do projeto, pessoa física ou jurídica, e o licitante ou responsável pelos serviços, fornecimentos e obras, incluindo-se o fornecimento de bens e serviços a estes necessários.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esteja </w:t>
      </w:r>
      <w:proofErr w:type="gramStart"/>
      <w:r w:rsidR="002E4CC3" w:rsidRPr="000A1E9D">
        <w:rPr>
          <w:rFonts w:ascii="Verdana" w:hAnsi="Verdana"/>
          <w:sz w:val="18"/>
          <w:szCs w:val="18"/>
        </w:rPr>
        <w:t>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</w:t>
      </w:r>
      <w:proofErr w:type="gramEnd"/>
      <w:r w:rsidR="002E4CC3" w:rsidRPr="000A1E9D">
        <w:rPr>
          <w:rFonts w:ascii="Verdana" w:hAnsi="Verdana"/>
          <w:sz w:val="18"/>
          <w:szCs w:val="18"/>
        </w:rPr>
        <w:t>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lastRenderedPageBreak/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</w:t>
      </w:r>
      <w:proofErr w:type="gramStart"/>
      <w:r w:rsidR="002E4CC3" w:rsidRPr="000A1E9D">
        <w:rPr>
          <w:rFonts w:ascii="Verdana" w:hAnsi="Verdana"/>
          <w:sz w:val="18"/>
          <w:szCs w:val="18"/>
        </w:rPr>
        <w:t>sob condições</w:t>
      </w:r>
      <w:proofErr w:type="gramEnd"/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0D4F7C" w:rsidRDefault="000D4F7C" w:rsidP="000D4F7C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mações das condições locais para o cumprimento das obrigações objeto </w:t>
      </w:r>
      <w:proofErr w:type="gramStart"/>
      <w:r w:rsidRPr="000F5F15">
        <w:rPr>
          <w:rFonts w:ascii="Verdana" w:hAnsi="Verdana"/>
          <w:sz w:val="18"/>
          <w:szCs w:val="18"/>
        </w:rPr>
        <w:t>da presente</w:t>
      </w:r>
      <w:proofErr w:type="gramEnd"/>
      <w:r w:rsidRPr="000F5F15">
        <w:rPr>
          <w:rFonts w:ascii="Verdana" w:hAnsi="Verdana"/>
          <w:sz w:val="18"/>
          <w:szCs w:val="18"/>
        </w:rPr>
        <w:t xml:space="preserve">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ou CAU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0D4F7C" w:rsidRPr="000D4F7C" w:rsidRDefault="000D4F7C" w:rsidP="000D4F7C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lastRenderedPageBreak/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6005">
        <w:rPr>
          <w:rFonts w:ascii="Verdana" w:hAnsi="Verdana"/>
          <w:sz w:val="18"/>
          <w:szCs w:val="18"/>
        </w:rPr>
        <w:t>– Prazo para execução dos serviços, está previsto no máximo de</w:t>
      </w:r>
      <w:r w:rsidR="00066005" w:rsidRPr="00066005">
        <w:rPr>
          <w:rFonts w:ascii="Verdana" w:hAnsi="Verdana"/>
          <w:sz w:val="18"/>
          <w:szCs w:val="18"/>
        </w:rPr>
        <w:t xml:space="preserve"> 02</w:t>
      </w:r>
      <w:r w:rsidRPr="00066005">
        <w:rPr>
          <w:rFonts w:ascii="Verdana" w:hAnsi="Verdana"/>
          <w:sz w:val="18"/>
          <w:szCs w:val="18"/>
        </w:rPr>
        <w:t xml:space="preserve"> (</w:t>
      </w:r>
      <w:r w:rsidR="00066005" w:rsidRPr="00066005">
        <w:rPr>
          <w:rFonts w:ascii="Verdana" w:hAnsi="Verdana"/>
          <w:sz w:val="18"/>
          <w:szCs w:val="18"/>
        </w:rPr>
        <w:t>dois</w:t>
      </w:r>
      <w:r w:rsidRPr="00066005">
        <w:rPr>
          <w:rFonts w:ascii="Verdana" w:hAnsi="Verdana"/>
          <w:sz w:val="18"/>
          <w:szCs w:val="18"/>
        </w:rPr>
        <w:t xml:space="preserve">) </w:t>
      </w:r>
      <w:r w:rsidR="00587875" w:rsidRPr="00066005">
        <w:rPr>
          <w:rFonts w:ascii="Verdana" w:hAnsi="Verdana"/>
          <w:sz w:val="18"/>
          <w:szCs w:val="18"/>
        </w:rPr>
        <w:t>meses</w:t>
      </w:r>
      <w:r w:rsidRPr="00066005">
        <w:rPr>
          <w:rFonts w:ascii="Verdana" w:hAnsi="Verdana"/>
          <w:sz w:val="18"/>
          <w:szCs w:val="18"/>
        </w:rPr>
        <w:t xml:space="preserve">, </w:t>
      </w:r>
      <w:r w:rsidR="003A7FD7" w:rsidRPr="00066005">
        <w:rPr>
          <w:rFonts w:ascii="Verdana" w:hAnsi="Verdana"/>
          <w:sz w:val="18"/>
          <w:szCs w:val="18"/>
        </w:rPr>
        <w:t>contado a</w:t>
      </w:r>
      <w:r w:rsidR="003A7FD7" w:rsidRPr="00A1483B">
        <w:rPr>
          <w:rFonts w:ascii="Verdana" w:hAnsi="Verdana"/>
          <w:sz w:val="18"/>
          <w:szCs w:val="18"/>
        </w:rPr>
        <w:t xml:space="preserve">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6A07D1" w:rsidRPr="006A07D1" w:rsidRDefault="006A07D1" w:rsidP="006A07D1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 xml:space="preserve">e </w:t>
      </w:r>
      <w:proofErr w:type="gramStart"/>
      <w:r w:rsidRPr="00BE563D">
        <w:rPr>
          <w:rFonts w:ascii="Verdana" w:hAnsi="Verdana"/>
          <w:sz w:val="18"/>
          <w:szCs w:val="18"/>
        </w:rPr>
        <w:t>for diretor</w:t>
      </w:r>
      <w:proofErr w:type="gramEnd"/>
      <w:r w:rsidRPr="00BE563D">
        <w:rPr>
          <w:rFonts w:ascii="Verdana" w:hAnsi="Verdana"/>
          <w:sz w:val="18"/>
          <w:szCs w:val="18"/>
        </w:rPr>
        <w:t xml:space="preserve">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</w:t>
      </w:r>
      <w:proofErr w:type="spellStart"/>
      <w:r w:rsidRPr="00877A83">
        <w:rPr>
          <w:rFonts w:ascii="Verdana" w:hAnsi="Verdana" w:cs="Arial"/>
          <w:color w:val="000000"/>
          <w:sz w:val="18"/>
          <w:szCs w:val="18"/>
        </w:rPr>
        <w:t>vantajosidade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 xml:space="preserve">á ser apresentada, </w:t>
      </w:r>
      <w:proofErr w:type="gramStart"/>
      <w:r>
        <w:rPr>
          <w:rFonts w:ascii="Verdana" w:hAnsi="Verdana"/>
          <w:sz w:val="18"/>
          <w:szCs w:val="18"/>
        </w:rPr>
        <w:t>sob pena</w:t>
      </w:r>
      <w:proofErr w:type="gramEnd"/>
      <w:r>
        <w:rPr>
          <w:rFonts w:ascii="Verdana" w:hAnsi="Verdana"/>
          <w:sz w:val="18"/>
          <w:szCs w:val="18"/>
        </w:rPr>
        <w:t xml:space="preserve">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lastRenderedPageBreak/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</w:t>
      </w:r>
      <w:proofErr w:type="gramStart"/>
      <w:r w:rsidRPr="000332B2">
        <w:rPr>
          <w:rFonts w:ascii="Verdana" w:hAnsi="Verdana"/>
          <w:bCs/>
          <w:sz w:val="18"/>
          <w:szCs w:val="18"/>
        </w:rPr>
        <w:t xml:space="preserve">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proofErr w:type="gramEnd"/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</w:t>
      </w:r>
      <w:proofErr w:type="gramStart"/>
      <w:r w:rsidRPr="000332B2">
        <w:rPr>
          <w:rFonts w:ascii="Verdana" w:hAnsi="Verdana"/>
          <w:sz w:val="18"/>
          <w:szCs w:val="18"/>
        </w:rPr>
        <w:t>modelo apresentado no Anexo VI</w:t>
      </w:r>
      <w:proofErr w:type="gramEnd"/>
      <w:r w:rsidRPr="000332B2">
        <w:rPr>
          <w:rFonts w:ascii="Verdana" w:hAnsi="Verdana"/>
          <w:sz w:val="18"/>
          <w:szCs w:val="18"/>
        </w:rPr>
        <w:t>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F754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Planilha demonstrativa de </w:t>
      </w:r>
      <w:r w:rsidRPr="000332B2">
        <w:rPr>
          <w:rFonts w:ascii="Verdana" w:hAnsi="Verdana"/>
          <w:b/>
          <w:sz w:val="18"/>
          <w:szCs w:val="18"/>
        </w:rPr>
        <w:t>composição do BDI</w:t>
      </w:r>
      <w:r w:rsidRPr="000332B2">
        <w:rPr>
          <w:rFonts w:ascii="Verdana" w:hAnsi="Verdana"/>
          <w:sz w:val="18"/>
          <w:szCs w:val="18"/>
        </w:rPr>
        <w:t xml:space="preserve"> utilizado pela empresa licitante, conforme modelo no Anexo VI-C, em papel timbrado do licitante.</w:t>
      </w:r>
    </w:p>
    <w:p w:rsidR="00F7543D" w:rsidRPr="00273888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Planilha demonstrativa da </w:t>
      </w:r>
      <w:r w:rsidRPr="00CA0511">
        <w:rPr>
          <w:rFonts w:ascii="Verdana" w:hAnsi="Verdana"/>
          <w:b/>
          <w:sz w:val="18"/>
          <w:szCs w:val="18"/>
        </w:rPr>
        <w:t>composição dos Encargos Sociais</w:t>
      </w:r>
      <w:r w:rsidR="00583D41" w:rsidRPr="00273888">
        <w:rPr>
          <w:rFonts w:ascii="Verdana" w:hAnsi="Verdana"/>
          <w:sz w:val="18"/>
          <w:szCs w:val="18"/>
        </w:rPr>
        <w:t xml:space="preserve"> </w:t>
      </w:r>
      <w:r w:rsidR="001717E6">
        <w:rPr>
          <w:rFonts w:ascii="Verdana" w:hAnsi="Verdana"/>
          <w:sz w:val="18"/>
          <w:szCs w:val="18"/>
        </w:rPr>
        <w:t xml:space="preserve">conforme </w:t>
      </w:r>
      <w:proofErr w:type="gramStart"/>
      <w:r w:rsidR="001717E6">
        <w:rPr>
          <w:rFonts w:ascii="Verdana" w:hAnsi="Verdana"/>
          <w:sz w:val="18"/>
          <w:szCs w:val="18"/>
        </w:rPr>
        <w:t xml:space="preserve">modelo contido no </w:t>
      </w:r>
      <w:r w:rsidR="001717E6" w:rsidRPr="00273888">
        <w:rPr>
          <w:rFonts w:ascii="Verdana" w:hAnsi="Verdana"/>
          <w:sz w:val="18"/>
          <w:szCs w:val="18"/>
        </w:rPr>
        <w:t>Anexo VI</w:t>
      </w:r>
      <w:proofErr w:type="gramEnd"/>
      <w:r w:rsidR="001717E6" w:rsidRPr="00273888">
        <w:rPr>
          <w:rFonts w:ascii="Verdana" w:hAnsi="Verdana"/>
          <w:sz w:val="18"/>
          <w:szCs w:val="18"/>
        </w:rPr>
        <w:t>-D</w:t>
      </w:r>
      <w:r w:rsidRPr="00273888">
        <w:rPr>
          <w:rFonts w:ascii="Verdana" w:hAnsi="Verdana"/>
          <w:sz w:val="18"/>
          <w:szCs w:val="18"/>
        </w:rPr>
        <w:t>;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projetos e todos os documentos do Edital, sendo obrigatória a vistoria dos l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cais dos serviços, executando todos os levantamentos necessários ao dese</w:t>
      </w:r>
      <w:r w:rsidRPr="00CE7D28">
        <w:rPr>
          <w:rFonts w:ascii="Verdana" w:hAnsi="Verdana"/>
          <w:sz w:val="18"/>
          <w:szCs w:val="18"/>
        </w:rPr>
        <w:t>n</w:t>
      </w:r>
      <w:r w:rsidRPr="00CE7D28">
        <w:rPr>
          <w:rFonts w:ascii="Verdana" w:hAnsi="Verdana"/>
          <w:sz w:val="18"/>
          <w:szCs w:val="18"/>
        </w:rPr>
        <w:t>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</w:t>
      </w:r>
      <w:proofErr w:type="gramStart"/>
      <w:r w:rsidR="006B07DF">
        <w:rPr>
          <w:rFonts w:ascii="Verdana" w:hAnsi="Verdana"/>
          <w:b/>
          <w:sz w:val="18"/>
          <w:szCs w:val="18"/>
        </w:rPr>
        <w:t xml:space="preserve">  </w:t>
      </w:r>
      <w:proofErr w:type="gramEnd"/>
      <w:r w:rsidR="006B07DF">
        <w:rPr>
          <w:rFonts w:ascii="Verdana" w:hAnsi="Verdana"/>
          <w:b/>
          <w:sz w:val="18"/>
          <w:szCs w:val="18"/>
        </w:rPr>
        <w:t>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planilha demonstrativa de </w:t>
      </w:r>
      <w:r w:rsidRPr="001A4341">
        <w:rPr>
          <w:rFonts w:ascii="Verdana" w:hAnsi="Verdana"/>
          <w:b/>
          <w:sz w:val="18"/>
          <w:szCs w:val="18"/>
        </w:rPr>
        <w:t>composição do BDI</w:t>
      </w:r>
      <w:r>
        <w:rPr>
          <w:rFonts w:ascii="Verdana" w:hAnsi="Verdana"/>
          <w:sz w:val="18"/>
          <w:szCs w:val="18"/>
        </w:rPr>
        <w:t xml:space="preserve"> deverá ser baseada no modelo do Anexo VI-C, de acordo com exigência do inciso II </w:t>
      </w:r>
      <w:r>
        <w:rPr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 xml:space="preserve">2º do art. </w:t>
      </w:r>
      <w:r w:rsidR="00583D41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º d</w:t>
      </w:r>
      <w:r w:rsidR="00583D41">
        <w:rPr>
          <w:rFonts w:ascii="Verdana" w:hAnsi="Verdana"/>
          <w:sz w:val="18"/>
          <w:szCs w:val="18"/>
        </w:rPr>
        <w:t>o Decreto 7.581/2011</w:t>
      </w:r>
      <w:r>
        <w:rPr>
          <w:rFonts w:ascii="Verdana" w:hAnsi="Verdana"/>
          <w:sz w:val="18"/>
          <w:szCs w:val="18"/>
        </w:rPr>
        <w:t xml:space="preserve"> e jurisprudê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 do TCU, onde deverão constar todos os itens utilizados pela empresa licitante na composição de seu BDI d</w:t>
      </w:r>
      <w:r w:rsidR="00C84B37">
        <w:rPr>
          <w:rFonts w:ascii="Verdana" w:hAnsi="Verdana"/>
          <w:sz w:val="18"/>
          <w:szCs w:val="18"/>
        </w:rPr>
        <w:t>e acordo com legislação vigente;</w:t>
      </w:r>
    </w:p>
    <w:p w:rsidR="00C84B37" w:rsidRPr="00273888" w:rsidRDefault="00C84B37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A planilha demonstrativa de </w:t>
      </w:r>
      <w:r w:rsidRPr="00273888">
        <w:rPr>
          <w:rFonts w:ascii="Verdana" w:hAnsi="Verdana"/>
          <w:b/>
          <w:sz w:val="18"/>
          <w:szCs w:val="18"/>
        </w:rPr>
        <w:t>composição dos Encargos Sociais</w:t>
      </w:r>
      <w:r w:rsidRPr="00273888">
        <w:rPr>
          <w:rFonts w:ascii="Verdana" w:hAnsi="Verdana"/>
          <w:sz w:val="18"/>
          <w:szCs w:val="18"/>
        </w:rPr>
        <w:t xml:space="preserve"> deverá ser baseada no modelo do Anexo VI-</w:t>
      </w:r>
      <w:r w:rsidR="00865F25">
        <w:rPr>
          <w:rFonts w:ascii="Verdana" w:hAnsi="Verdana"/>
          <w:sz w:val="18"/>
          <w:szCs w:val="18"/>
        </w:rPr>
        <w:t>D</w:t>
      </w:r>
      <w:r w:rsidRPr="00273888">
        <w:rPr>
          <w:rFonts w:ascii="Verdana" w:hAnsi="Verdana"/>
          <w:sz w:val="18"/>
          <w:szCs w:val="18"/>
        </w:rPr>
        <w:t xml:space="preserve">, de acordo com exigência do inciso II </w:t>
      </w:r>
      <w:r w:rsidRPr="00273888">
        <w:rPr>
          <w:sz w:val="18"/>
          <w:szCs w:val="18"/>
        </w:rPr>
        <w:t xml:space="preserve">§ </w:t>
      </w:r>
      <w:r w:rsidRPr="00273888">
        <w:rPr>
          <w:rFonts w:ascii="Verdana" w:hAnsi="Verdana"/>
          <w:sz w:val="18"/>
          <w:szCs w:val="18"/>
        </w:rPr>
        <w:t xml:space="preserve">2º do art. 8º do Decreto 7.581/2011 e jurisprudência do TCU, onde </w:t>
      </w:r>
      <w:proofErr w:type="gramStart"/>
      <w:r w:rsidRPr="00273888">
        <w:rPr>
          <w:rFonts w:ascii="Verdana" w:hAnsi="Verdana"/>
          <w:sz w:val="18"/>
          <w:szCs w:val="18"/>
        </w:rPr>
        <w:t>deverão</w:t>
      </w:r>
      <w:proofErr w:type="gramEnd"/>
      <w:r w:rsidRPr="00273888">
        <w:rPr>
          <w:rFonts w:ascii="Verdana" w:hAnsi="Verdana"/>
          <w:sz w:val="18"/>
          <w:szCs w:val="18"/>
        </w:rPr>
        <w:t xml:space="preserve"> constar </w:t>
      </w:r>
      <w:r w:rsidR="009E1B95" w:rsidRPr="00273888">
        <w:rPr>
          <w:rFonts w:ascii="Verdana" w:hAnsi="Verdana"/>
          <w:sz w:val="18"/>
          <w:szCs w:val="18"/>
        </w:rPr>
        <w:t xml:space="preserve">a discriminação de todas as parcelas que a compõe </w:t>
      </w:r>
      <w:r w:rsidRPr="00273888">
        <w:rPr>
          <w:rFonts w:ascii="Verdana" w:hAnsi="Verdana"/>
          <w:sz w:val="18"/>
          <w:szCs w:val="18"/>
        </w:rPr>
        <w:t>de acordo com legislação vigente.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6B53DA">
        <w:rPr>
          <w:rFonts w:ascii="Verdana" w:hAnsi="Verdana"/>
          <w:sz w:val="18"/>
          <w:szCs w:val="18"/>
        </w:rPr>
        <w:t xml:space="preserve"> ou no Conselho de Arquit</w:t>
      </w:r>
      <w:r w:rsidR="006B53DA">
        <w:rPr>
          <w:rFonts w:ascii="Verdana" w:hAnsi="Verdana"/>
          <w:sz w:val="18"/>
          <w:szCs w:val="18"/>
        </w:rPr>
        <w:t>e</w:t>
      </w:r>
      <w:r w:rsidR="006B53DA">
        <w:rPr>
          <w:rFonts w:ascii="Verdana" w:hAnsi="Verdana"/>
          <w:sz w:val="18"/>
          <w:szCs w:val="18"/>
        </w:rPr>
        <w:t>tura e Urbanismo</w:t>
      </w:r>
      <w:r w:rsidR="00890125">
        <w:rPr>
          <w:rFonts w:ascii="Verdana" w:hAnsi="Verdana"/>
          <w:sz w:val="18"/>
          <w:szCs w:val="18"/>
        </w:rPr>
        <w:t xml:space="preserve"> (</w:t>
      </w:r>
      <w:r w:rsidR="00730B1B">
        <w:rPr>
          <w:rFonts w:ascii="Verdana" w:hAnsi="Verdana"/>
          <w:sz w:val="18"/>
          <w:szCs w:val="18"/>
        </w:rPr>
        <w:t>CAU</w:t>
      </w:r>
      <w:r w:rsidR="00890125">
        <w:rPr>
          <w:rFonts w:ascii="Verdana" w:hAnsi="Verdana"/>
          <w:sz w:val="18"/>
          <w:szCs w:val="18"/>
        </w:rPr>
        <w:t>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 xml:space="preserve">do domicílio ou sede da licitante,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 xml:space="preserve">atividade relacionada com o objeto </w:t>
      </w:r>
      <w:proofErr w:type="gramStart"/>
      <w:r w:rsidRPr="000F5F15">
        <w:rPr>
          <w:rFonts w:ascii="Verdana" w:hAnsi="Verdana"/>
          <w:sz w:val="18"/>
          <w:szCs w:val="18"/>
        </w:rPr>
        <w:t>da presente</w:t>
      </w:r>
      <w:proofErr w:type="gramEnd"/>
      <w:r w:rsidRPr="000F5F15">
        <w:rPr>
          <w:rFonts w:ascii="Verdana" w:hAnsi="Verdana"/>
          <w:sz w:val="18"/>
          <w:szCs w:val="18"/>
        </w:rPr>
        <w:t xml:space="preserve"> licitação</w:t>
      </w:r>
      <w:r w:rsidR="00F7543D">
        <w:rPr>
          <w:rFonts w:ascii="Verdana" w:hAnsi="Verdana"/>
          <w:sz w:val="18"/>
          <w:szCs w:val="18"/>
        </w:rPr>
        <w:t>;</w:t>
      </w:r>
    </w:p>
    <w:p w:rsidR="00EB6E87" w:rsidRPr="000F5F15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Atestado</w:t>
      </w:r>
      <w:r w:rsidR="00C2095B">
        <w:rPr>
          <w:rFonts w:ascii="Verdana" w:hAnsi="Verdana"/>
          <w:b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(s) ou declaração (</w:t>
      </w:r>
      <w:proofErr w:type="spellStart"/>
      <w:r w:rsidR="00C2095B" w:rsidRPr="00F5202C">
        <w:rPr>
          <w:rFonts w:ascii="Verdana" w:hAnsi="Verdana"/>
          <w:b/>
          <w:sz w:val="18"/>
          <w:szCs w:val="18"/>
        </w:rPr>
        <w:t>ões</w:t>
      </w:r>
      <w:proofErr w:type="spellEnd"/>
      <w:r w:rsidR="00C2095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C2095B" w:rsidRPr="000F5F15">
        <w:rPr>
          <w:rFonts w:ascii="Verdana" w:hAnsi="Verdana"/>
          <w:bCs/>
          <w:sz w:val="18"/>
          <w:szCs w:val="18"/>
        </w:rPr>
        <w:t>ou pr</w:t>
      </w:r>
      <w:r w:rsidR="00C2095B" w:rsidRPr="000F5F15">
        <w:rPr>
          <w:rFonts w:ascii="Verdana" w:hAnsi="Verdana"/>
          <w:bCs/>
          <w:sz w:val="18"/>
          <w:szCs w:val="18"/>
        </w:rPr>
        <w:t>o</w:t>
      </w:r>
      <w:r w:rsidR="00C2095B" w:rsidRPr="000F5F15">
        <w:rPr>
          <w:rFonts w:ascii="Verdana" w:hAnsi="Verdana"/>
          <w:bCs/>
          <w:sz w:val="18"/>
          <w:szCs w:val="18"/>
        </w:rPr>
        <w:t>fissional de seu quadro técnico</w:t>
      </w:r>
      <w:r w:rsidR="00C2095B" w:rsidRPr="000F5F15">
        <w:rPr>
          <w:rFonts w:ascii="Verdana" w:hAnsi="Verdana"/>
          <w:sz w:val="18"/>
          <w:szCs w:val="18"/>
        </w:rPr>
        <w:t xml:space="preserve">, devidamente identificado, </w:t>
      </w:r>
      <w:r w:rsidR="00C2095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C2095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C2095B">
        <w:rPr>
          <w:rFonts w:ascii="Verdana" w:hAnsi="Verdana"/>
          <w:sz w:val="18"/>
          <w:szCs w:val="18"/>
        </w:rPr>
        <w:t>,</w:t>
      </w:r>
      <w:r w:rsidR="00C2095B" w:rsidRPr="000F5F15">
        <w:rPr>
          <w:rFonts w:ascii="Verdana" w:hAnsi="Verdana"/>
          <w:bCs/>
          <w:sz w:val="18"/>
          <w:szCs w:val="18"/>
        </w:rPr>
        <w:t xml:space="preserve"> </w:t>
      </w:r>
      <w:r w:rsidR="00C2095B" w:rsidRPr="000F5F15">
        <w:rPr>
          <w:rFonts w:ascii="Verdana" w:hAnsi="Verdana"/>
          <w:sz w:val="18"/>
          <w:szCs w:val="18"/>
        </w:rPr>
        <w:t>fornecida por pessoa jurídica de direito público ou privado</w:t>
      </w:r>
      <w:r w:rsidR="00C2095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0F5F15" w:rsidRDefault="00EB6E87" w:rsidP="00CA5412">
      <w:pPr>
        <w:pStyle w:val="Corpodetexto"/>
        <w:numPr>
          <w:ilvl w:val="3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F5F15">
        <w:rPr>
          <w:rFonts w:ascii="Verdana" w:hAnsi="Verdana" w:cs="Arial"/>
          <w:bCs/>
          <w:sz w:val="18"/>
          <w:szCs w:val="18"/>
        </w:rPr>
        <w:t>- Os fatores de maior relevância, para efeito de avaliação de qualif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cação técnica, relacionam-se à capacidade analítica e domínio conceitual e prático do licitante nos assuntos pertinentes ao objeto desta licitação, cons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derando os parâmetros mínimos descritos abaixo, devidamente registrados no CREA</w:t>
      </w:r>
      <w:r w:rsidR="00822018" w:rsidRPr="000F5F15">
        <w:rPr>
          <w:rFonts w:ascii="Verdana" w:hAnsi="Verdana" w:cs="Arial"/>
          <w:bCs/>
          <w:sz w:val="18"/>
          <w:szCs w:val="18"/>
        </w:rPr>
        <w:t xml:space="preserve"> </w:t>
      </w:r>
      <w:r w:rsidR="00890125">
        <w:rPr>
          <w:rFonts w:ascii="Verdana" w:hAnsi="Verdana" w:cs="Arial"/>
          <w:bCs/>
          <w:sz w:val="18"/>
          <w:szCs w:val="18"/>
        </w:rPr>
        <w:t xml:space="preserve">ou CAU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Técnico vinculada(s) ao(s) atestado(s)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/</w:t>
      </w:r>
      <w:r>
        <w:rPr>
          <w:rFonts w:ascii="Verdana" w:hAnsi="Verdana" w:cs="Arial"/>
          <w:bCs/>
          <w:sz w:val="18"/>
          <w:szCs w:val="18"/>
        </w:rPr>
        <w:t xml:space="preserve"> </w:t>
      </w:r>
      <w:proofErr w:type="gramStart"/>
      <w:r w:rsidRPr="000F5F15">
        <w:rPr>
          <w:rFonts w:ascii="Verdana" w:hAnsi="Verdana" w:cs="Arial"/>
          <w:bCs/>
          <w:sz w:val="18"/>
          <w:szCs w:val="18"/>
        </w:rPr>
        <w:t>cert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dão(</w:t>
      </w:r>
      <w:proofErr w:type="spellStart"/>
      <w:proofErr w:type="gramEnd"/>
      <w:r w:rsidRPr="000F5F15">
        <w:rPr>
          <w:rFonts w:ascii="Verdana" w:hAnsi="Verdana" w:cs="Arial"/>
          <w:bCs/>
          <w:sz w:val="18"/>
          <w:szCs w:val="18"/>
        </w:rPr>
        <w:t>ões</w:t>
      </w:r>
      <w:proofErr w:type="spellEnd"/>
      <w:r w:rsidRPr="000F5F15">
        <w:rPr>
          <w:rFonts w:ascii="Verdana" w:hAnsi="Verdana" w:cs="Arial"/>
          <w:bCs/>
          <w:sz w:val="18"/>
          <w:szCs w:val="18"/>
        </w:rPr>
        <w:t>)/declaração(</w:t>
      </w:r>
      <w:proofErr w:type="spellStart"/>
      <w:r w:rsidRPr="000F5F15">
        <w:rPr>
          <w:rFonts w:ascii="Verdana" w:hAnsi="Verdana" w:cs="Arial"/>
          <w:bCs/>
          <w:sz w:val="18"/>
          <w:szCs w:val="18"/>
        </w:rPr>
        <w:t>ões</w:t>
      </w:r>
      <w:proofErr w:type="spellEnd"/>
      <w:r w:rsidRPr="000F5F15">
        <w:rPr>
          <w:rFonts w:ascii="Verdana" w:hAnsi="Verdana" w:cs="Arial"/>
          <w:bCs/>
          <w:sz w:val="18"/>
          <w:szCs w:val="18"/>
        </w:rPr>
        <w:t>):</w:t>
      </w:r>
    </w:p>
    <w:p w:rsidR="00EB6E87" w:rsidRPr="00066005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066005">
        <w:rPr>
          <w:rFonts w:ascii="Verdana" w:hAnsi="Verdana"/>
          <w:sz w:val="18"/>
          <w:szCs w:val="18"/>
        </w:rPr>
        <w:t>– obra de reforma e</w:t>
      </w:r>
      <w:r w:rsidR="00730B1B" w:rsidRPr="00066005">
        <w:rPr>
          <w:rFonts w:ascii="Verdana" w:hAnsi="Verdana"/>
          <w:sz w:val="18"/>
          <w:szCs w:val="18"/>
        </w:rPr>
        <w:t>m</w:t>
      </w:r>
      <w:r w:rsidRPr="00066005">
        <w:rPr>
          <w:rFonts w:ascii="Verdana" w:hAnsi="Verdana"/>
          <w:sz w:val="18"/>
          <w:szCs w:val="18"/>
        </w:rPr>
        <w:t xml:space="preserve"> prédio comercial</w:t>
      </w:r>
      <w:r w:rsidR="00273888" w:rsidRPr="00066005">
        <w:rPr>
          <w:rFonts w:ascii="Verdana" w:hAnsi="Verdana"/>
          <w:sz w:val="18"/>
          <w:szCs w:val="18"/>
        </w:rPr>
        <w:t>, residencial ou público</w:t>
      </w:r>
      <w:r w:rsidRPr="00066005">
        <w:rPr>
          <w:rFonts w:ascii="Verdana" w:hAnsi="Verdana"/>
          <w:sz w:val="18"/>
          <w:szCs w:val="18"/>
        </w:rPr>
        <w:t>;</w:t>
      </w:r>
      <w:r w:rsidR="00066005" w:rsidRPr="00066005">
        <w:rPr>
          <w:rFonts w:ascii="Verdana" w:hAnsi="Verdana"/>
          <w:sz w:val="18"/>
          <w:szCs w:val="18"/>
        </w:rPr>
        <w:t xml:space="preserve"> </w:t>
      </w:r>
      <w:proofErr w:type="gramStart"/>
      <w:r w:rsidR="00066005" w:rsidRPr="00066005">
        <w:rPr>
          <w:rFonts w:ascii="Verdana" w:hAnsi="Verdana"/>
          <w:sz w:val="18"/>
          <w:szCs w:val="18"/>
        </w:rPr>
        <w:t>e</w:t>
      </w:r>
      <w:proofErr w:type="gramEnd"/>
    </w:p>
    <w:p w:rsidR="00EB6E87" w:rsidRPr="00066005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066005">
        <w:rPr>
          <w:rFonts w:ascii="Verdana" w:hAnsi="Verdana"/>
          <w:sz w:val="18"/>
          <w:szCs w:val="18"/>
        </w:rPr>
        <w:t xml:space="preserve">– </w:t>
      </w:r>
      <w:r w:rsidR="00066005">
        <w:rPr>
          <w:rFonts w:ascii="Verdana" w:hAnsi="Verdana"/>
          <w:sz w:val="18"/>
          <w:szCs w:val="18"/>
        </w:rPr>
        <w:t xml:space="preserve">obra de reforma ou execução de instalação elétrica e </w:t>
      </w:r>
      <w:r w:rsidRPr="00066005">
        <w:rPr>
          <w:rFonts w:ascii="Verdana" w:hAnsi="Verdana"/>
          <w:sz w:val="18"/>
          <w:szCs w:val="18"/>
        </w:rPr>
        <w:t>rede estrutur</w:t>
      </w:r>
      <w:r w:rsidRPr="00066005">
        <w:rPr>
          <w:rFonts w:ascii="Verdana" w:hAnsi="Verdana"/>
          <w:sz w:val="18"/>
          <w:szCs w:val="18"/>
        </w:rPr>
        <w:t>a</w:t>
      </w:r>
      <w:r w:rsidRPr="00066005">
        <w:rPr>
          <w:rFonts w:ascii="Verdana" w:hAnsi="Verdana"/>
          <w:sz w:val="18"/>
          <w:szCs w:val="18"/>
        </w:rPr>
        <w:t>da de comunicação de dados;</w:t>
      </w:r>
    </w:p>
    <w:p w:rsidR="00730B1B" w:rsidRDefault="00730B1B" w:rsidP="00730B1B">
      <w:pPr>
        <w:pStyle w:val="Corpodetexto"/>
        <w:numPr>
          <w:ilvl w:val="3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t xml:space="preserve">– Este(s) documento(s) </w:t>
      </w:r>
      <w:proofErr w:type="gramStart"/>
      <w:r w:rsidRPr="00EE6FB3">
        <w:rPr>
          <w:rFonts w:ascii="Verdana" w:hAnsi="Verdana"/>
          <w:sz w:val="18"/>
          <w:szCs w:val="18"/>
        </w:rPr>
        <w:t>deverá(</w:t>
      </w:r>
      <w:proofErr w:type="spellStart"/>
      <w:proofErr w:type="gramEnd"/>
      <w:r w:rsidRPr="00EE6FB3">
        <w:rPr>
          <w:rFonts w:ascii="Verdana" w:hAnsi="Verdana"/>
          <w:sz w:val="18"/>
          <w:szCs w:val="18"/>
        </w:rPr>
        <w:t>ão</w:t>
      </w:r>
      <w:proofErr w:type="spellEnd"/>
      <w:r w:rsidRPr="00EE6FB3">
        <w:rPr>
          <w:rFonts w:ascii="Verdana" w:hAnsi="Verdana"/>
          <w:sz w:val="18"/>
          <w:szCs w:val="18"/>
        </w:rPr>
        <w:t xml:space="preserve">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</w:t>
      </w:r>
      <w:proofErr w:type="spellStart"/>
      <w:r w:rsidRPr="00BE563D">
        <w:rPr>
          <w:rFonts w:ascii="Verdana" w:hAnsi="Verdana"/>
          <w:sz w:val="18"/>
          <w:szCs w:val="18"/>
        </w:rPr>
        <w:t>Abr</w:t>
      </w:r>
      <w:proofErr w:type="spellEnd"/>
      <w:r w:rsidRPr="00BE563D">
        <w:rPr>
          <w:rFonts w:ascii="Verdana" w:hAnsi="Verdana"/>
          <w:sz w:val="18"/>
          <w:szCs w:val="18"/>
        </w:rPr>
        <w:t xml:space="preserve">/96, publicada no D.O U. </w:t>
      </w:r>
      <w:proofErr w:type="gramStart"/>
      <w:r w:rsidRPr="00BE563D">
        <w:rPr>
          <w:rFonts w:ascii="Verdana" w:hAnsi="Verdana"/>
          <w:sz w:val="18"/>
          <w:szCs w:val="18"/>
        </w:rPr>
        <w:t>de</w:t>
      </w:r>
      <w:proofErr w:type="gramEnd"/>
      <w:r w:rsidRPr="00BE563D">
        <w:rPr>
          <w:rFonts w:ascii="Verdana" w:hAnsi="Verdana"/>
          <w:sz w:val="18"/>
          <w:szCs w:val="18"/>
        </w:rPr>
        <w:t xml:space="preserve"> 16/</w:t>
      </w:r>
      <w:proofErr w:type="spellStart"/>
      <w:r w:rsidRPr="00BE563D">
        <w:rPr>
          <w:rFonts w:ascii="Verdana" w:hAnsi="Verdana"/>
          <w:sz w:val="18"/>
          <w:szCs w:val="18"/>
        </w:rPr>
        <w:t>Abr</w:t>
      </w:r>
      <w:proofErr w:type="spellEnd"/>
      <w:r w:rsidRPr="00BE563D">
        <w:rPr>
          <w:rFonts w:ascii="Verdana" w:hAnsi="Verdana"/>
          <w:sz w:val="18"/>
          <w:szCs w:val="18"/>
        </w:rPr>
        <w:t>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>não precisa ser apresentada</w:t>
      </w:r>
      <w:proofErr w:type="gramStart"/>
      <w:r>
        <w:rPr>
          <w:rFonts w:ascii="Verdana" w:hAnsi="Verdana"/>
          <w:sz w:val="18"/>
          <w:szCs w:val="18"/>
        </w:rPr>
        <w:t xml:space="preserve"> pois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Pr="00273888">
        <w:rPr>
          <w:rFonts w:ascii="Verdana" w:hAnsi="Verdana"/>
          <w:sz w:val="18"/>
          <w:szCs w:val="18"/>
        </w:rPr>
        <w:t>será substituída por consulta a ser feita “</w:t>
      </w:r>
      <w:proofErr w:type="spellStart"/>
      <w:r w:rsidRPr="00273888">
        <w:rPr>
          <w:rFonts w:ascii="Verdana" w:hAnsi="Verdana"/>
          <w:sz w:val="18"/>
          <w:szCs w:val="18"/>
        </w:rPr>
        <w:t>on</w:t>
      </w:r>
      <w:proofErr w:type="spellEnd"/>
      <w:r w:rsidRPr="00273888">
        <w:rPr>
          <w:rFonts w:ascii="Verdana" w:hAnsi="Verdana"/>
          <w:sz w:val="18"/>
          <w:szCs w:val="18"/>
        </w:rPr>
        <w:t xml:space="preserve"> </w:t>
      </w:r>
      <w:proofErr w:type="spellStart"/>
      <w:r w:rsidRPr="00273888">
        <w:rPr>
          <w:rFonts w:ascii="Verdana" w:hAnsi="Verdana"/>
          <w:sz w:val="18"/>
          <w:szCs w:val="18"/>
        </w:rPr>
        <w:t>line</w:t>
      </w:r>
      <w:proofErr w:type="spellEnd"/>
      <w:r w:rsidRPr="00273888">
        <w:rPr>
          <w:rFonts w:ascii="Verdana" w:hAnsi="Verdana"/>
          <w:sz w:val="18"/>
          <w:szCs w:val="18"/>
        </w:rPr>
        <w:t>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 w:rsidR="00953D19"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 w:rsidR="00701A42"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tação</w:t>
      </w:r>
      <w:r w:rsidR="00953D19">
        <w:rPr>
          <w:rFonts w:ascii="Verdana" w:hAnsi="Verdana"/>
          <w:sz w:val="18"/>
          <w:szCs w:val="18"/>
        </w:rPr>
        <w:t xml:space="preserve"> da </w:t>
      </w:r>
      <w:r w:rsidR="00E73889">
        <w:rPr>
          <w:rFonts w:ascii="Verdana" w:hAnsi="Verdana"/>
          <w:sz w:val="18"/>
          <w:szCs w:val="18"/>
        </w:rPr>
        <w:t>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</w:t>
      </w:r>
      <w:r w:rsidRPr="00013D55">
        <w:rPr>
          <w:rFonts w:ascii="Verdana" w:hAnsi="Verdana"/>
          <w:b/>
          <w:sz w:val="18"/>
          <w:szCs w:val="18"/>
        </w:rPr>
        <w:t>i</w:t>
      </w:r>
      <w:r w:rsidRPr="00013D55">
        <w:rPr>
          <w:rFonts w:ascii="Verdana" w:hAnsi="Verdana"/>
          <w:b/>
          <w:sz w:val="18"/>
          <w:szCs w:val="18"/>
        </w:rPr>
        <w:t>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envelopes.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lastRenderedPageBreak/>
        <w:t xml:space="preserve">- A falta de qualquer dos documentos exigidos no presente Edital ou a falta de autenticação das cópias como exigido no item anterior, acarretará 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de solicitar os originais dos documentos apr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 xml:space="preserve">sentados </w:t>
      </w:r>
      <w:proofErr w:type="gramStart"/>
      <w:r w:rsidRPr="000F5F15">
        <w:rPr>
          <w:rFonts w:ascii="Verdana" w:hAnsi="Verdana"/>
          <w:sz w:val="18"/>
          <w:szCs w:val="18"/>
        </w:rPr>
        <w:t>sob forma</w:t>
      </w:r>
      <w:proofErr w:type="gramEnd"/>
      <w:r w:rsidRPr="000F5F15">
        <w:rPr>
          <w:rFonts w:ascii="Verdana" w:hAnsi="Verdana"/>
          <w:sz w:val="18"/>
          <w:szCs w:val="18"/>
        </w:rPr>
        <w:t xml:space="preserve"> de cópias, quando julgar necessário.</w:t>
      </w:r>
    </w:p>
    <w:p w:rsidR="002C69BA" w:rsidRPr="00BE563D" w:rsidRDefault="002C69BA" w:rsidP="00F7543D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</w:t>
      </w:r>
      <w:proofErr w:type="gramStart"/>
      <w:r w:rsidRPr="00BE563D">
        <w:rPr>
          <w:rFonts w:ascii="Verdana" w:hAnsi="Verdana"/>
          <w:sz w:val="18"/>
          <w:szCs w:val="18"/>
        </w:rPr>
        <w:t xml:space="preserve">horário </w:t>
      </w:r>
      <w:r w:rsidRPr="000F5F15">
        <w:rPr>
          <w:rFonts w:ascii="Verdana" w:hAnsi="Verdana"/>
          <w:sz w:val="18"/>
          <w:szCs w:val="18"/>
        </w:rPr>
        <w:t>marcados</w:t>
      </w:r>
      <w:proofErr w:type="gramEnd"/>
      <w:r w:rsidRPr="000F5F15">
        <w:rPr>
          <w:rFonts w:ascii="Verdana" w:hAnsi="Verdana"/>
          <w:sz w:val="18"/>
          <w:szCs w:val="18"/>
        </w:rPr>
        <w:t xml:space="preserve">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</w:t>
      </w:r>
      <w:proofErr w:type="gramStart"/>
      <w:r w:rsidRPr="000332B2">
        <w:rPr>
          <w:rFonts w:ascii="Verdana" w:hAnsi="Verdana"/>
          <w:sz w:val="18"/>
          <w:szCs w:val="18"/>
        </w:rPr>
        <w:t>reunião(</w:t>
      </w:r>
      <w:proofErr w:type="spellStart"/>
      <w:proofErr w:type="gramEnd"/>
      <w:r w:rsidRPr="000332B2">
        <w:rPr>
          <w:rFonts w:ascii="Verdana" w:hAnsi="Verdana"/>
          <w:sz w:val="18"/>
          <w:szCs w:val="18"/>
        </w:rPr>
        <w:t>ões</w:t>
      </w:r>
      <w:proofErr w:type="spellEnd"/>
      <w:r w:rsidRPr="000332B2">
        <w:rPr>
          <w:rFonts w:ascii="Verdana" w:hAnsi="Verdana"/>
          <w:sz w:val="18"/>
          <w:szCs w:val="18"/>
        </w:rPr>
        <w:t xml:space="preserve">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proofErr w:type="spellStart"/>
      <w:r w:rsidR="00F534BB">
        <w:fldChar w:fldCharType="begin"/>
      </w:r>
      <w:r w:rsidR="00F534BB">
        <w:instrText xml:space="preserve"> HYPERLINK "http://www.planalto.gov.br/ccivil_03/LEIS/L8666cons.htm" \l "art27" </w:instrText>
      </w:r>
      <w:r w:rsidR="00F534BB">
        <w:fldChar w:fldCharType="separate"/>
      </w:r>
      <w:r w:rsidRPr="00DA568D">
        <w:rPr>
          <w:rFonts w:ascii="Verdana" w:hAnsi="Verdana" w:cs="Arial"/>
          <w:sz w:val="18"/>
          <w:szCs w:val="18"/>
          <w:u w:val="single"/>
        </w:rPr>
        <w:t>arts</w:t>
      </w:r>
      <w:proofErr w:type="spellEnd"/>
      <w:r w:rsidRPr="00DA568D">
        <w:rPr>
          <w:rFonts w:ascii="Verdana" w:hAnsi="Verdana" w:cs="Arial"/>
          <w:sz w:val="18"/>
          <w:szCs w:val="18"/>
          <w:u w:val="single"/>
        </w:rPr>
        <w:t>. 27</w:t>
      </w:r>
      <w:r w:rsidR="00F534BB">
        <w:rPr>
          <w:rFonts w:ascii="Verdana" w:hAnsi="Verdana" w:cs="Arial"/>
          <w:sz w:val="18"/>
          <w:szCs w:val="18"/>
          <w:u w:val="single"/>
        </w:rPr>
        <w:fldChar w:fldCharType="end"/>
      </w:r>
      <w:r w:rsidRPr="00DA568D">
        <w:rPr>
          <w:rFonts w:ascii="Verdana" w:hAnsi="Verdana" w:cs="Arial"/>
          <w:sz w:val="18"/>
          <w:szCs w:val="18"/>
        </w:rPr>
        <w:t> a </w:t>
      </w:r>
      <w:hyperlink r:id="rId13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  <w:proofErr w:type="gramStart"/>
      </w:hyperlink>
      <w:proofErr w:type="gramEnd"/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 xml:space="preserve"> 3.722, de </w:t>
      </w:r>
      <w:proofErr w:type="gramStart"/>
      <w:r w:rsidR="00DA568D" w:rsidRPr="009F59F9">
        <w:rPr>
          <w:rFonts w:ascii="Verdana" w:hAnsi="Verdana" w:cs="Arial"/>
          <w:sz w:val="18"/>
          <w:szCs w:val="18"/>
          <w:u w:val="single"/>
        </w:rPr>
        <w:t>9</w:t>
      </w:r>
      <w:proofErr w:type="gramEnd"/>
      <w:r w:rsidR="00DA568D" w:rsidRPr="009F59F9">
        <w:rPr>
          <w:rFonts w:ascii="Verdana" w:hAnsi="Verdana" w:cs="Arial"/>
          <w:sz w:val="18"/>
          <w:szCs w:val="18"/>
          <w:u w:val="single"/>
        </w:rPr>
        <w:t xml:space="preserve">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porte da empresa; </w:t>
      </w: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>consulta “</w:t>
      </w:r>
      <w:proofErr w:type="spellStart"/>
      <w:r w:rsidRPr="00EB778F">
        <w:rPr>
          <w:rFonts w:ascii="Verdana" w:hAnsi="Verdana"/>
          <w:sz w:val="18"/>
          <w:szCs w:val="18"/>
        </w:rPr>
        <w:t>on</w:t>
      </w:r>
      <w:proofErr w:type="spellEnd"/>
      <w:r w:rsidRPr="00EB778F">
        <w:rPr>
          <w:rFonts w:ascii="Verdana" w:hAnsi="Verdana"/>
          <w:sz w:val="18"/>
          <w:szCs w:val="18"/>
        </w:rPr>
        <w:t xml:space="preserve"> </w:t>
      </w:r>
      <w:proofErr w:type="spellStart"/>
      <w:r w:rsidRPr="00EB778F">
        <w:rPr>
          <w:rFonts w:ascii="Verdana" w:hAnsi="Verdana"/>
          <w:sz w:val="18"/>
          <w:szCs w:val="18"/>
        </w:rPr>
        <w:t>line</w:t>
      </w:r>
      <w:proofErr w:type="spellEnd"/>
      <w:r w:rsidRPr="00EB778F">
        <w:rPr>
          <w:rFonts w:ascii="Verdana" w:hAnsi="Verdana"/>
          <w:sz w:val="18"/>
          <w:szCs w:val="18"/>
        </w:rPr>
        <w:t xml:space="preserve">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 xml:space="preserve">o valor do capital social de cada licitante no cadastro do SICAF, para verificação da condição de sua participação </w:t>
      </w:r>
      <w:proofErr w:type="gramStart"/>
      <w:r w:rsidRPr="00F21D85">
        <w:rPr>
          <w:rFonts w:ascii="Verdana" w:hAnsi="Verdana"/>
          <w:sz w:val="18"/>
          <w:szCs w:val="18"/>
        </w:rPr>
        <w:t>na presente</w:t>
      </w:r>
      <w:proofErr w:type="gramEnd"/>
      <w:r w:rsidRPr="00F21D85">
        <w:rPr>
          <w:rFonts w:ascii="Verdana" w:hAnsi="Verdana"/>
          <w:sz w:val="18"/>
          <w:szCs w:val="18"/>
        </w:rPr>
        <w:t xml:space="preserve">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</w:t>
      </w:r>
      <w:r w:rsidRPr="00F21D85">
        <w:rPr>
          <w:rFonts w:ascii="Verdana" w:hAnsi="Verdana"/>
          <w:sz w:val="18"/>
          <w:szCs w:val="18"/>
        </w:rPr>
        <w:lastRenderedPageBreak/>
        <w:t xml:space="preserve">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 w:rsidR="00271356" w:rsidRPr="00E62C94">
        <w:rPr>
          <w:rFonts w:ascii="Verdana" w:hAnsi="Verdana"/>
          <w:sz w:val="18"/>
          <w:szCs w:val="18"/>
        </w:rPr>
        <w:t>Através da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 w:rsidRPr="00EB778F">
        <w:rPr>
          <w:rFonts w:ascii="Verdana" w:hAnsi="Verdana"/>
          <w:sz w:val="18"/>
          <w:szCs w:val="18"/>
        </w:rPr>
        <w:t>consulta “</w:t>
      </w:r>
      <w:proofErr w:type="spellStart"/>
      <w:r w:rsidR="00271356" w:rsidRPr="00EB778F">
        <w:rPr>
          <w:rFonts w:ascii="Verdana" w:hAnsi="Verdana"/>
          <w:sz w:val="18"/>
          <w:szCs w:val="18"/>
        </w:rPr>
        <w:t>on</w:t>
      </w:r>
      <w:proofErr w:type="spellEnd"/>
      <w:r w:rsidR="00271356" w:rsidRPr="00EB778F">
        <w:rPr>
          <w:rFonts w:ascii="Verdana" w:hAnsi="Verdana"/>
          <w:sz w:val="18"/>
          <w:szCs w:val="18"/>
        </w:rPr>
        <w:t xml:space="preserve"> </w:t>
      </w:r>
      <w:proofErr w:type="spellStart"/>
      <w:r w:rsidR="00271356" w:rsidRPr="00EB778F">
        <w:rPr>
          <w:rFonts w:ascii="Verdana" w:hAnsi="Verdana"/>
          <w:sz w:val="18"/>
          <w:szCs w:val="18"/>
        </w:rPr>
        <w:t>line</w:t>
      </w:r>
      <w:proofErr w:type="spellEnd"/>
      <w:r w:rsidR="00271356" w:rsidRPr="00EB778F">
        <w:rPr>
          <w:rFonts w:ascii="Verdana" w:hAnsi="Verdana"/>
          <w:sz w:val="18"/>
          <w:szCs w:val="18"/>
        </w:rPr>
        <w:t>” no SICAF</w:t>
      </w:r>
      <w:r w:rsidR="00271356">
        <w:rPr>
          <w:rFonts w:ascii="Verdana" w:hAnsi="Verdana"/>
          <w:sz w:val="18"/>
          <w:szCs w:val="18"/>
        </w:rPr>
        <w:t>, será verificada também a inexistência de débitos inadimplidos perante a Justiça do Trabalho do licitante/fornecedor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>
        <w:rPr>
          <w:rFonts w:ascii="Verdana" w:hAnsi="Verdana"/>
          <w:sz w:val="18"/>
          <w:szCs w:val="18"/>
        </w:rPr>
        <w:t>conforme determinado pela Lei 12.440 de 07 de julho de 2011;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4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 xml:space="preserve">no sítio </w:t>
      </w:r>
      <w:proofErr w:type="gramStart"/>
      <w:r>
        <w:rPr>
          <w:rFonts w:ascii="Verdana" w:hAnsi="Verdana"/>
          <w:sz w:val="18"/>
          <w:szCs w:val="18"/>
        </w:rPr>
        <w:t>portal.</w:t>
      </w:r>
      <w:proofErr w:type="gramEnd"/>
      <w:r>
        <w:rPr>
          <w:rFonts w:ascii="Verdana" w:hAnsi="Verdana"/>
          <w:sz w:val="18"/>
          <w:szCs w:val="18"/>
        </w:rPr>
        <w:t>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dastros acima, a(s) licitante(s) </w:t>
      </w:r>
      <w:proofErr w:type="gramStart"/>
      <w:r>
        <w:rPr>
          <w:rFonts w:ascii="Verdana" w:hAnsi="Verdana"/>
          <w:sz w:val="18"/>
          <w:szCs w:val="18"/>
        </w:rPr>
        <w:t>será(</w:t>
      </w:r>
      <w:proofErr w:type="spellStart"/>
      <w:proofErr w:type="gramEnd"/>
      <w:r>
        <w:rPr>
          <w:rFonts w:ascii="Verdana" w:hAnsi="Verdana"/>
          <w:sz w:val="18"/>
          <w:szCs w:val="18"/>
        </w:rPr>
        <w:t>ão</w:t>
      </w:r>
      <w:proofErr w:type="spellEnd"/>
      <w:r>
        <w:rPr>
          <w:rFonts w:ascii="Verdana" w:hAnsi="Verdana"/>
          <w:sz w:val="18"/>
          <w:szCs w:val="18"/>
        </w:rPr>
        <w:t>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 xml:space="preserve">a empresa classificada em primeiro lugar não </w:t>
      </w:r>
      <w:proofErr w:type="gramStart"/>
      <w:r w:rsidRPr="000F5F15">
        <w:rPr>
          <w:rFonts w:ascii="Verdana" w:hAnsi="Verdana"/>
          <w:sz w:val="18"/>
          <w:szCs w:val="18"/>
        </w:rPr>
        <w:t>for ME</w:t>
      </w:r>
      <w:proofErr w:type="gramEnd"/>
      <w:r w:rsidRPr="000F5F15">
        <w:rPr>
          <w:rFonts w:ascii="Verdana" w:hAnsi="Verdana"/>
          <w:sz w:val="18"/>
          <w:szCs w:val="18"/>
        </w:rPr>
        <w:t xml:space="preserve">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</w:t>
      </w:r>
      <w:proofErr w:type="gramStart"/>
      <w:r w:rsidRPr="00961F22">
        <w:rPr>
          <w:rFonts w:ascii="Verdana" w:hAnsi="Verdana"/>
          <w:sz w:val="18"/>
          <w:szCs w:val="18"/>
        </w:rPr>
        <w:t>é ME</w:t>
      </w:r>
      <w:proofErr w:type="gramEnd"/>
      <w:r w:rsidRPr="00961F22">
        <w:rPr>
          <w:rFonts w:ascii="Verdana" w:hAnsi="Verdana"/>
          <w:sz w:val="18"/>
          <w:szCs w:val="18"/>
        </w:rPr>
        <w:t>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>- A segunda classificada fará seu lance se assim o desejar, se comprometendo a apresentar nova carta proposta, com planilha de orçamento e cronograma adaptados aos novos preços, na 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– Abertos os envelopes </w:t>
      </w:r>
      <w:proofErr w:type="spellStart"/>
      <w:r w:rsidRPr="00961F22">
        <w:rPr>
          <w:rFonts w:ascii="Verdana" w:hAnsi="Verdana"/>
          <w:sz w:val="18"/>
          <w:szCs w:val="18"/>
        </w:rPr>
        <w:t>n.ºs</w:t>
      </w:r>
      <w:proofErr w:type="spellEnd"/>
      <w:r w:rsidRPr="00961F22">
        <w:rPr>
          <w:rFonts w:ascii="Verdana" w:hAnsi="Verdana"/>
          <w:sz w:val="18"/>
          <w:szCs w:val="18"/>
        </w:rPr>
        <w:t xml:space="preserve"> 01 com as propostas das licitantes e satisfeita </w:t>
      </w:r>
      <w:proofErr w:type="gramStart"/>
      <w:r w:rsidRPr="00961F22">
        <w:rPr>
          <w:rFonts w:ascii="Verdana" w:hAnsi="Verdana"/>
          <w:sz w:val="18"/>
          <w:szCs w:val="18"/>
        </w:rPr>
        <w:t>as</w:t>
      </w:r>
      <w:proofErr w:type="gramEnd"/>
      <w:r w:rsidRPr="00961F22">
        <w:rPr>
          <w:rFonts w:ascii="Verdana" w:hAnsi="Verdana"/>
          <w:sz w:val="18"/>
          <w:szCs w:val="18"/>
        </w:rPr>
        <w:t xml:space="preserve">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proofErr w:type="gramStart"/>
      <w:r w:rsidRPr="00D07510">
        <w:rPr>
          <w:rFonts w:ascii="Verdana" w:hAnsi="Verdana" w:cs="Arial"/>
          <w:b/>
          <w:color w:val="000000"/>
          <w:sz w:val="18"/>
          <w:szCs w:val="18"/>
        </w:rPr>
        <w:t>sob pena</w:t>
      </w:r>
      <w:proofErr w:type="gramEnd"/>
      <w:r w:rsidRPr="00D07510">
        <w:rPr>
          <w:rFonts w:ascii="Verdana" w:hAnsi="Verdana" w:cs="Arial"/>
          <w:b/>
          <w:color w:val="000000"/>
          <w:sz w:val="18"/>
          <w:szCs w:val="18"/>
        </w:rPr>
        <w:t xml:space="preserve">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envelopes </w:t>
      </w:r>
      <w:proofErr w:type="spellStart"/>
      <w:r>
        <w:rPr>
          <w:rFonts w:ascii="Verdana" w:hAnsi="Verdana"/>
          <w:sz w:val="18"/>
          <w:szCs w:val="18"/>
        </w:rPr>
        <w:t>n.ºs</w:t>
      </w:r>
      <w:proofErr w:type="spellEnd"/>
      <w:r>
        <w:rPr>
          <w:rFonts w:ascii="Verdana" w:hAnsi="Verdana"/>
          <w:sz w:val="18"/>
          <w:szCs w:val="18"/>
        </w:rPr>
        <w:t xml:space="preserve">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lastRenderedPageBreak/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 xml:space="preserve"> - revogar o procedimento por motivo de conveniência e oportunidade; </w:t>
      </w:r>
      <w:proofErr w:type="gramStart"/>
      <w:r w:rsidRPr="00AD2F4D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B31D0F" w:rsidRPr="00B31D0F" w:rsidRDefault="00B31D0F" w:rsidP="00B31D0F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proofErr w:type="gramStart"/>
      <w:r w:rsidRPr="00BE563D">
        <w:rPr>
          <w:rFonts w:ascii="Verdana" w:hAnsi="Verdana"/>
          <w:sz w:val="18"/>
          <w:szCs w:val="18"/>
        </w:rPr>
        <w:t>seja</w:t>
      </w:r>
      <w:proofErr w:type="gramEnd"/>
      <w:r w:rsidRPr="00BE563D">
        <w:rPr>
          <w:rFonts w:ascii="Verdana" w:hAnsi="Verdana"/>
          <w:sz w:val="18"/>
          <w:szCs w:val="18"/>
        </w:rPr>
        <w:t xml:space="preserve">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</w:t>
      </w: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 xml:space="preserve">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</w:t>
      </w:r>
      <w:r w:rsidR="00261978">
        <w:rPr>
          <w:rFonts w:ascii="Verdana" w:hAnsi="Verdana"/>
          <w:sz w:val="18"/>
          <w:szCs w:val="18"/>
        </w:rPr>
        <w:t>u</w:t>
      </w:r>
      <w:r w:rsidRPr="00C97635">
        <w:rPr>
          <w:rFonts w:ascii="Verdana" w:hAnsi="Verdana"/>
          <w:sz w:val="18"/>
          <w:szCs w:val="18"/>
        </w:rPr>
        <w:t>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 xml:space="preserve">de, </w:t>
      </w:r>
      <w:proofErr w:type="gramStart"/>
      <w:r w:rsidRPr="00C97635">
        <w:rPr>
          <w:rFonts w:ascii="Verdana" w:hAnsi="Verdana"/>
          <w:sz w:val="18"/>
          <w:szCs w:val="18"/>
        </w:rPr>
        <w:t>prevista</w:t>
      </w:r>
      <w:proofErr w:type="gramEnd"/>
      <w:r w:rsidRPr="00C97635">
        <w:rPr>
          <w:rFonts w:ascii="Verdana" w:hAnsi="Verdana"/>
          <w:sz w:val="18"/>
          <w:szCs w:val="18"/>
        </w:rPr>
        <w:t xml:space="preserve">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</w:t>
      </w:r>
      <w:r w:rsidR="00261978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enta por cento) do valor orçado pela Universidade; </w:t>
      </w:r>
      <w:proofErr w:type="gramStart"/>
      <w:r w:rsidRPr="00BE563D">
        <w:rPr>
          <w:rFonts w:ascii="Verdana" w:hAnsi="Verdana"/>
          <w:sz w:val="18"/>
          <w:szCs w:val="18"/>
        </w:rPr>
        <w:t>ou</w:t>
      </w:r>
      <w:proofErr w:type="gramEnd"/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t xml:space="preserve">– </w:t>
      </w:r>
      <w:proofErr w:type="gramStart"/>
      <w:r w:rsidRPr="00336683">
        <w:rPr>
          <w:rFonts w:ascii="Verdana" w:hAnsi="Verdana" w:cs="Arial"/>
          <w:color w:val="000000"/>
          <w:sz w:val="18"/>
          <w:szCs w:val="18"/>
        </w:rPr>
        <w:t>Na presente</w:t>
      </w:r>
      <w:proofErr w:type="gramEnd"/>
      <w:r w:rsidRPr="00336683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</w:t>
      </w:r>
      <w:r w:rsidR="00261978">
        <w:rPr>
          <w:rFonts w:ascii="Verdana" w:hAnsi="Verdana"/>
          <w:sz w:val="18"/>
          <w:szCs w:val="18"/>
          <w:u w:val="single"/>
        </w:rPr>
        <w:t>u</w:t>
      </w:r>
      <w:r w:rsidRPr="00590DAD">
        <w:rPr>
          <w:rFonts w:ascii="Verdana" w:hAnsi="Verdana"/>
          <w:sz w:val="18"/>
          <w:szCs w:val="18"/>
          <w:u w:val="single"/>
        </w:rPr>
        <w:t>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 xml:space="preserve">, </w:t>
      </w:r>
      <w:proofErr w:type="gramStart"/>
      <w:r>
        <w:rPr>
          <w:rFonts w:ascii="Verdana" w:hAnsi="Verdana"/>
          <w:sz w:val="18"/>
          <w:szCs w:val="18"/>
        </w:rPr>
        <w:t>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</w:t>
      </w:r>
      <w:proofErr w:type="gramEnd"/>
      <w:r>
        <w:rPr>
          <w:rFonts w:ascii="Verdana" w:hAnsi="Verdana"/>
          <w:sz w:val="18"/>
          <w:szCs w:val="18"/>
        </w:rPr>
        <w:t xml:space="preserve">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 xml:space="preserve">damentado sobre a adequação das Propostas Comerciais apresentadas, a fim de </w:t>
      </w:r>
      <w:proofErr w:type="gramStart"/>
      <w:r w:rsidRPr="00590DAD">
        <w:rPr>
          <w:rFonts w:ascii="Verdana" w:hAnsi="Verdana"/>
          <w:sz w:val="18"/>
          <w:szCs w:val="18"/>
        </w:rPr>
        <w:t>dirimir dúvidas</w:t>
      </w:r>
      <w:proofErr w:type="gramEnd"/>
      <w:r w:rsidRPr="00590DAD">
        <w:rPr>
          <w:rFonts w:ascii="Verdana" w:hAnsi="Verdana"/>
          <w:sz w:val="18"/>
          <w:szCs w:val="18"/>
        </w:rPr>
        <w:t xml:space="preserve">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6A685C" w:rsidRPr="006A685C" w:rsidRDefault="006A685C" w:rsidP="006A685C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lastRenderedPageBreak/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rer, </w:t>
      </w:r>
      <w:proofErr w:type="gramStart"/>
      <w:r w:rsidRPr="006A685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Pr="006A685C">
        <w:rPr>
          <w:rFonts w:ascii="Verdana" w:hAnsi="Verdana" w:cs="Arial"/>
          <w:color w:val="000000"/>
          <w:sz w:val="18"/>
          <w:szCs w:val="18"/>
        </w:rPr>
        <w:t xml:space="preserve">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do, neste caso, a decisão do recurso ser proferida dentro do prazo de cinco dias úteis, contado do seu recebimento, </w:t>
      </w:r>
      <w:proofErr w:type="gramStart"/>
      <w:r w:rsidRPr="006A685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Pr="006A685C">
        <w:rPr>
          <w:rFonts w:ascii="Verdana" w:hAnsi="Verdana" w:cs="Arial"/>
          <w:color w:val="000000"/>
          <w:sz w:val="18"/>
          <w:szCs w:val="18"/>
        </w:rPr>
        <w:t xml:space="preserve">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590DAD" w:rsidRPr="00590DAD" w:rsidRDefault="00590DAD" w:rsidP="00590DA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6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E8570D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proofErr w:type="gramStart"/>
      <w:r w:rsidR="006771C2" w:rsidRPr="00BE563D">
        <w:rPr>
          <w:rFonts w:ascii="Verdana" w:hAnsi="Verdana"/>
          <w:sz w:val="18"/>
          <w:szCs w:val="18"/>
        </w:rPr>
        <w:t xml:space="preserve">apresentar a </w:t>
      </w:r>
      <w:r w:rsidR="00494103">
        <w:rPr>
          <w:rFonts w:ascii="Verdana" w:hAnsi="Verdana"/>
          <w:sz w:val="18"/>
          <w:szCs w:val="18"/>
        </w:rPr>
        <w:t xml:space="preserve">caução de </w:t>
      </w:r>
      <w:r w:rsidR="006771C2" w:rsidRPr="007767BA">
        <w:rPr>
          <w:rFonts w:ascii="Verdana" w:hAnsi="Verdana"/>
          <w:b/>
          <w:sz w:val="18"/>
          <w:szCs w:val="18"/>
        </w:rPr>
        <w:t>garantia de execução dos serviços</w:t>
      </w:r>
      <w:r w:rsidR="008A2D7F">
        <w:rPr>
          <w:rFonts w:ascii="Verdana" w:hAnsi="Verdana"/>
          <w:sz w:val="18"/>
          <w:szCs w:val="18"/>
        </w:rPr>
        <w:t>, conforme previsto no item posterior ‘DA GARANTIA”</w:t>
      </w:r>
      <w:proofErr w:type="gramEnd"/>
      <w:r w:rsidR="008A2D7F">
        <w:rPr>
          <w:rFonts w:ascii="Verdana" w:hAnsi="Verdana"/>
          <w:sz w:val="18"/>
          <w:szCs w:val="18"/>
        </w:rPr>
        <w:t xml:space="preserve">, </w:t>
      </w:r>
      <w:r w:rsidR="006771C2" w:rsidRPr="00BE563D">
        <w:rPr>
          <w:rFonts w:ascii="Verdana" w:hAnsi="Verdana"/>
          <w:sz w:val="18"/>
          <w:szCs w:val="18"/>
        </w:rPr>
        <w:t xml:space="preserve">e 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as providências enumeradas no subitem anterior, a licitante vencedora será notific</w:t>
      </w:r>
      <w:r w:rsidR="00494103" w:rsidRPr="00494103">
        <w:rPr>
          <w:rFonts w:ascii="Verdana" w:hAnsi="Verdana"/>
          <w:sz w:val="18"/>
          <w:szCs w:val="18"/>
        </w:rPr>
        <w:t>a</w:t>
      </w:r>
      <w:r w:rsidR="00494103" w:rsidRPr="00494103">
        <w:rPr>
          <w:rFonts w:ascii="Verdana" w:hAnsi="Verdana"/>
          <w:sz w:val="18"/>
          <w:szCs w:val="18"/>
        </w:rPr>
        <w:t>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das providências referidas no</w:t>
      </w:r>
      <w:r w:rsidR="00494103">
        <w:rPr>
          <w:rFonts w:ascii="Verdana" w:hAnsi="Verdana"/>
          <w:sz w:val="18"/>
          <w:szCs w:val="18"/>
        </w:rPr>
        <w:t>s subitens anteriores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</w:t>
      </w:r>
      <w:proofErr w:type="gramStart"/>
      <w:r w:rsidRPr="00BE563D">
        <w:rPr>
          <w:rFonts w:ascii="Verdana" w:hAnsi="Verdana"/>
          <w:sz w:val="18"/>
          <w:szCs w:val="18"/>
        </w:rPr>
        <w:t>2</w:t>
      </w:r>
      <w:proofErr w:type="gramEnd"/>
      <w:r w:rsidRPr="00BE563D">
        <w:rPr>
          <w:rFonts w:ascii="Verdana" w:hAnsi="Verdana"/>
          <w:sz w:val="18"/>
          <w:szCs w:val="18"/>
        </w:rPr>
        <w:t xml:space="preserve">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8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; </w:t>
      </w:r>
      <w:proofErr w:type="gramStart"/>
      <w:r w:rsidRPr="00384D81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19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 xml:space="preserve">, observado o disposto nos </w:t>
      </w:r>
      <w:proofErr w:type="spellStart"/>
      <w:r w:rsidRPr="00921B20">
        <w:rPr>
          <w:rFonts w:ascii="Verdana" w:hAnsi="Verdana" w:cs="Arial"/>
          <w:sz w:val="18"/>
          <w:szCs w:val="18"/>
        </w:rPr>
        <w:t>arts</w:t>
      </w:r>
      <w:proofErr w:type="spellEnd"/>
      <w:r w:rsidRPr="00921B20">
        <w:rPr>
          <w:rFonts w:ascii="Verdana" w:hAnsi="Verdana" w:cs="Arial"/>
          <w:sz w:val="18"/>
          <w:szCs w:val="18"/>
        </w:rPr>
        <w:t>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0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562C99" w:rsidRPr="00562C99" w:rsidRDefault="00562C99" w:rsidP="00562C99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Por ocasião da assinatura do contrato, será exigida a prestação de garantia no valor de 5% (cinco por cento) do valor total do contrato, podendo a Contratada optar por uma das s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guintes modalidades: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caução em dinheiro;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seguro garantia;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fiança bancária.</w:t>
      </w:r>
    </w:p>
    <w:p w:rsidR="00E9516A" w:rsidRPr="00021524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 </w:t>
      </w:r>
      <w:r w:rsidRPr="00021524">
        <w:rPr>
          <w:rFonts w:ascii="Verdana" w:hAnsi="Verdana"/>
          <w:sz w:val="18"/>
          <w:szCs w:val="18"/>
        </w:rPr>
        <w:t>- No caso de caução em dinheiro, o depósito deverá ser efetuado pela empresa vencedora, junto à Caixa Econômica Federal (CEF), na agência e conta específica para esse fim, e cujo valor será informado à CEF por meio de ofício expedido pela Contratante.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Em caso de apresentação de fiança bancária, na carta de fiança deverá constar expressa </w:t>
      </w:r>
      <w:r w:rsidRPr="00C97635">
        <w:rPr>
          <w:rFonts w:ascii="Verdana" w:hAnsi="Verdana"/>
          <w:sz w:val="18"/>
          <w:szCs w:val="18"/>
        </w:rPr>
        <w:t xml:space="preserve">renúncia, pelo fiador, dos benefícios do art. </w:t>
      </w:r>
      <w:r w:rsidR="00301DC2" w:rsidRPr="00C97635">
        <w:rPr>
          <w:rFonts w:ascii="Verdana" w:hAnsi="Verdana"/>
          <w:sz w:val="18"/>
          <w:szCs w:val="18"/>
        </w:rPr>
        <w:t>827</w:t>
      </w:r>
      <w:r w:rsidRPr="00C97635">
        <w:rPr>
          <w:rFonts w:ascii="Verdana" w:hAnsi="Verdana"/>
          <w:sz w:val="18"/>
          <w:szCs w:val="18"/>
        </w:rPr>
        <w:t xml:space="preserve"> do Código Civil Brasileiro.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A apresentação do comprovante de garantia deverá ser feita no prazo máximo de </w:t>
      </w:r>
      <w:proofErr w:type="gramStart"/>
      <w:r w:rsidRPr="00C97635">
        <w:rPr>
          <w:rFonts w:ascii="Verdana" w:hAnsi="Verdana"/>
          <w:sz w:val="18"/>
          <w:szCs w:val="18"/>
        </w:rPr>
        <w:t>5</w:t>
      </w:r>
      <w:proofErr w:type="gramEnd"/>
      <w:r w:rsidRPr="00C97635">
        <w:rPr>
          <w:rFonts w:ascii="Verdana" w:hAnsi="Verdana"/>
          <w:sz w:val="18"/>
          <w:szCs w:val="18"/>
        </w:rPr>
        <w:t xml:space="preserve"> (cinco) dias úteis, contados a partir do recebimento da notif</w:t>
      </w:r>
      <w:r w:rsidR="008A2D7F">
        <w:rPr>
          <w:rFonts w:ascii="Verdana" w:hAnsi="Verdana"/>
          <w:sz w:val="18"/>
          <w:szCs w:val="18"/>
        </w:rPr>
        <w:t>icação por parte da Contratante</w:t>
      </w:r>
      <w:r w:rsidR="00021524">
        <w:rPr>
          <w:rFonts w:ascii="Verdana" w:hAnsi="Verdana"/>
          <w:sz w:val="18"/>
          <w:szCs w:val="18"/>
        </w:rPr>
        <w:t>, e será d</w:t>
      </w:r>
      <w:r w:rsidR="00021524">
        <w:rPr>
          <w:rFonts w:ascii="Verdana" w:hAnsi="Verdana"/>
          <w:sz w:val="18"/>
          <w:szCs w:val="18"/>
        </w:rPr>
        <w:t>o</w:t>
      </w:r>
      <w:r w:rsidR="00021524">
        <w:rPr>
          <w:rFonts w:ascii="Verdana" w:hAnsi="Verdana"/>
          <w:sz w:val="18"/>
          <w:szCs w:val="18"/>
        </w:rPr>
        <w:t>cumento integrante do Termo de Contrato.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Pr="00C97635">
        <w:rPr>
          <w:rFonts w:ascii="Verdana" w:hAnsi="Verdana"/>
          <w:sz w:val="18"/>
          <w:szCs w:val="18"/>
        </w:rPr>
        <w:t>das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proofErr w:type="gramStart"/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proofErr w:type="gramEnd"/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E9516A" w:rsidRPr="00C97635">
        <w:rPr>
          <w:rFonts w:ascii="Verdana" w:hAnsi="Verdana"/>
          <w:sz w:val="18"/>
          <w:szCs w:val="18"/>
        </w:rPr>
        <w:t>I</w:t>
      </w:r>
      <w:r w:rsidR="006C1321">
        <w:rPr>
          <w:rFonts w:ascii="Verdana" w:hAnsi="Verdana"/>
          <w:sz w:val="18"/>
          <w:szCs w:val="18"/>
        </w:rPr>
        <w:t>X</w:t>
      </w:r>
      <w:r w:rsidR="00E9516A" w:rsidRPr="00C97635">
        <w:rPr>
          <w:rFonts w:ascii="Verdana" w:hAnsi="Verdana"/>
          <w:sz w:val="18"/>
          <w:szCs w:val="18"/>
        </w:rPr>
        <w:t>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</w:t>
      </w:r>
      <w:proofErr w:type="gramStart"/>
      <w:r w:rsidRPr="001F1233">
        <w:rPr>
          <w:rFonts w:ascii="Verdana" w:hAnsi="Verdana"/>
          <w:sz w:val="18"/>
          <w:szCs w:val="18"/>
        </w:rPr>
        <w:t>1º,</w:t>
      </w:r>
      <w:proofErr w:type="gramEnd"/>
      <w:r w:rsidRPr="001F1233">
        <w:rPr>
          <w:rFonts w:ascii="Verdana" w:hAnsi="Verdana"/>
          <w:sz w:val="18"/>
          <w:szCs w:val="18"/>
        </w:rPr>
        <w:t xml:space="preserve">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 xml:space="preserve">bservar a Legislação Ambiental vigente, notadamente a Lei 12.305/2010, que </w:t>
      </w:r>
      <w:proofErr w:type="gramStart"/>
      <w:r>
        <w:rPr>
          <w:rFonts w:ascii="Verdana" w:hAnsi="Verdana"/>
          <w:sz w:val="18"/>
          <w:szCs w:val="18"/>
        </w:rPr>
        <w:t>implementou</w:t>
      </w:r>
      <w:proofErr w:type="gramEnd"/>
      <w:r>
        <w:rPr>
          <w:rFonts w:ascii="Verdana" w:hAnsi="Verdana"/>
          <w:sz w:val="18"/>
          <w:szCs w:val="18"/>
        </w:rPr>
        <w:t xml:space="preserve">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 xml:space="preserve">, para resolver quaisquer pendências relativas </w:t>
      </w:r>
      <w:proofErr w:type="gramStart"/>
      <w:r w:rsidRPr="000332B2">
        <w:rPr>
          <w:rFonts w:ascii="Verdana" w:hAnsi="Verdana"/>
          <w:sz w:val="18"/>
          <w:szCs w:val="18"/>
        </w:rPr>
        <w:t>a</w:t>
      </w:r>
      <w:proofErr w:type="gramEnd"/>
      <w:r w:rsidRPr="000332B2">
        <w:rPr>
          <w:rFonts w:ascii="Verdana" w:hAnsi="Verdana"/>
          <w:sz w:val="18"/>
          <w:szCs w:val="18"/>
        </w:rPr>
        <w:t xml:space="preserve">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5053EF" w:rsidRDefault="005053EF" w:rsidP="005053EF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lastRenderedPageBreak/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 xml:space="preserve">, devendo protocolar o pedido até </w:t>
      </w:r>
      <w:proofErr w:type="gramStart"/>
      <w:r>
        <w:rPr>
          <w:rFonts w:ascii="Verdana" w:hAnsi="Verdana"/>
          <w:color w:val="000000"/>
          <w:sz w:val="18"/>
          <w:szCs w:val="18"/>
        </w:rPr>
        <w:t>5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>lhas 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impugnação feita tempestivamente pelo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</w:t>
      </w:r>
      <w:r w:rsidR="00261978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1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1A6B1A" w:rsidRPr="001A6B1A" w:rsidRDefault="001A6B1A" w:rsidP="001A6B1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Fica </w:t>
      </w:r>
      <w:proofErr w:type="gramStart"/>
      <w:r w:rsidRPr="00BE563D">
        <w:rPr>
          <w:rFonts w:ascii="Verdana" w:hAnsi="Verdana"/>
          <w:sz w:val="18"/>
          <w:szCs w:val="18"/>
        </w:rPr>
        <w:t>entendido</w:t>
      </w:r>
      <w:r w:rsidR="001B076E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que as especificações e toda a documentação deste Edital são compleme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tares entre si,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</w:t>
      </w:r>
      <w:proofErr w:type="gramEnd"/>
      <w:r w:rsidR="00D04EE8" w:rsidRPr="00BE563D">
        <w:rPr>
          <w:rFonts w:ascii="Verdana" w:hAnsi="Verdana"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proofErr w:type="gramStart"/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proofErr w:type="gramEnd"/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</w:t>
      </w:r>
      <w:proofErr w:type="gramStart"/>
      <w:r w:rsidR="00E9516A" w:rsidRPr="00C97635">
        <w:rPr>
          <w:rFonts w:ascii="Verdana" w:hAnsi="Verdana"/>
          <w:sz w:val="18"/>
          <w:szCs w:val="18"/>
        </w:rPr>
        <w:t xml:space="preserve">  </w:t>
      </w:r>
      <w:proofErr w:type="gramEnd"/>
      <w:r w:rsidR="00E9516A" w:rsidRPr="00C97635">
        <w:rPr>
          <w:rFonts w:ascii="Verdana" w:hAnsi="Verdana"/>
          <w:sz w:val="18"/>
          <w:szCs w:val="18"/>
        </w:rPr>
        <w:t>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lastRenderedPageBreak/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111BF0">
        <w:rPr>
          <w:rFonts w:ascii="Verdana" w:hAnsi="Verdana"/>
          <w:sz w:val="18"/>
          <w:szCs w:val="18"/>
        </w:rPr>
        <w:t>04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066005">
        <w:rPr>
          <w:rFonts w:ascii="Verdana" w:hAnsi="Verdana"/>
          <w:sz w:val="18"/>
          <w:szCs w:val="18"/>
        </w:rPr>
        <w:t xml:space="preserve"> </w:t>
      </w:r>
      <w:r w:rsidR="00111BF0">
        <w:rPr>
          <w:rFonts w:ascii="Verdana" w:hAnsi="Verdana"/>
          <w:sz w:val="18"/>
          <w:szCs w:val="18"/>
        </w:rPr>
        <w:t>outu</w:t>
      </w:r>
      <w:r w:rsidR="00261978">
        <w:rPr>
          <w:rFonts w:ascii="Verdana" w:hAnsi="Verdana"/>
          <w:sz w:val="18"/>
          <w:szCs w:val="18"/>
        </w:rPr>
        <w:t>bro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066005">
        <w:rPr>
          <w:rFonts w:ascii="Verdana" w:hAnsi="Verdana"/>
          <w:sz w:val="18"/>
          <w:szCs w:val="18"/>
        </w:rPr>
        <w:t>18</w:t>
      </w:r>
      <w:r w:rsidRPr="00BE563D">
        <w:rPr>
          <w:rFonts w:ascii="Verdana" w:hAnsi="Verdana"/>
          <w:sz w:val="18"/>
          <w:szCs w:val="18"/>
        </w:rPr>
        <w:t>.</w:t>
      </w: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962C8C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Aristocles Caldas Júnior</w:t>
      </w: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proofErr w:type="spellStart"/>
      <w:r>
        <w:rPr>
          <w:rFonts w:ascii="Verdana" w:hAnsi="Verdana"/>
          <w:iCs/>
          <w:sz w:val="18"/>
          <w:szCs w:val="18"/>
        </w:rPr>
        <w:t>Cli</w:t>
      </w:r>
      <w:proofErr w:type="spellEnd"/>
      <w:r w:rsidR="002E4A57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</w:t>
      </w: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</w:t>
      </w:r>
      <w:proofErr w:type="spellStart"/>
      <w:proofErr w:type="gramStart"/>
      <w:r>
        <w:rPr>
          <w:rFonts w:ascii="Verdana" w:hAnsi="Verdana"/>
          <w:iCs/>
          <w:sz w:val="18"/>
          <w:szCs w:val="18"/>
        </w:rPr>
        <w:t>CL</w:t>
      </w:r>
      <w:r w:rsidR="001A6B1A">
        <w:rPr>
          <w:rFonts w:ascii="Verdana" w:hAnsi="Verdana"/>
          <w:iCs/>
          <w:sz w:val="18"/>
          <w:szCs w:val="18"/>
        </w:rPr>
        <w:t>i</w:t>
      </w:r>
      <w:proofErr w:type="spellEnd"/>
      <w:proofErr w:type="gramEnd"/>
      <w:r w:rsidR="002E4A57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p w:rsidR="00962C8C" w:rsidRDefault="00962C8C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sectPr w:rsidR="00591696" w:rsidSect="000D4F7C">
      <w:headerReference w:type="default" r:id="rId22"/>
      <w:footerReference w:type="default" r:id="rId23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94" w:rsidRDefault="00326F94">
      <w:r>
        <w:separator/>
      </w:r>
    </w:p>
  </w:endnote>
  <w:endnote w:type="continuationSeparator" w:id="0">
    <w:p w:rsidR="00326F94" w:rsidRDefault="0032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BB" w:rsidRPr="00573804" w:rsidRDefault="00F534BB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33234B">
      <w:rPr>
        <w:rStyle w:val="Nmerodepgina"/>
        <w:rFonts w:ascii="Verdana" w:hAnsi="Verdana"/>
        <w:noProof/>
        <w:color w:val="003366"/>
        <w:sz w:val="16"/>
        <w:szCs w:val="16"/>
      </w:rPr>
      <w:t>3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33234B">
      <w:rPr>
        <w:rStyle w:val="Nmerodepgina"/>
        <w:rFonts w:ascii="Verdana" w:hAnsi="Verdana"/>
        <w:noProof/>
        <w:color w:val="003366"/>
        <w:sz w:val="16"/>
        <w:szCs w:val="16"/>
      </w:rPr>
      <w:t>19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94" w:rsidRDefault="00326F94">
      <w:r>
        <w:separator/>
      </w:r>
    </w:p>
  </w:footnote>
  <w:footnote w:type="continuationSeparator" w:id="0">
    <w:p w:rsidR="00326F94" w:rsidRDefault="0032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BB" w:rsidRPr="00573804" w:rsidRDefault="00F534BB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45pt;height:19.1pt" o:ole="" filled="t" fillcolor="black">
          <v:imagedata r:id="rId1" o:title=""/>
        </v:shape>
        <o:OLEObject Type="Embed" ProgID="MSPhotoEd.3" ShapeID="_x0000_i1025" DrawAspect="Content" ObjectID="_1600158508" r:id="rId2"/>
      </w:object>
    </w:r>
  </w:p>
  <w:p w:rsidR="00F534BB" w:rsidRPr="00573804" w:rsidRDefault="00F534BB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F534BB" w:rsidRPr="00573804" w:rsidRDefault="00F534BB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Processo n.º </w:t>
    </w:r>
    <w:r>
      <w:rPr>
        <w:rFonts w:ascii="Verdana" w:hAnsi="Verdana"/>
        <w:color w:val="003366"/>
        <w:sz w:val="16"/>
        <w:szCs w:val="16"/>
      </w:rPr>
      <w:t>23069.043.169/2017-11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9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6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1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1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7"/>
  </w:num>
  <w:num w:numId="13">
    <w:abstractNumId w:val="8"/>
  </w:num>
  <w:num w:numId="14">
    <w:abstractNumId w:val="3"/>
  </w:num>
  <w:num w:numId="15">
    <w:abstractNumId w:val="5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0"/>
  </w:num>
  <w:num w:numId="21">
    <w:abstractNumId w:val="21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4513"/>
    <w:rsid w:val="0005305E"/>
    <w:rsid w:val="0005457F"/>
    <w:rsid w:val="000563EA"/>
    <w:rsid w:val="00061E84"/>
    <w:rsid w:val="0006245A"/>
    <w:rsid w:val="00063048"/>
    <w:rsid w:val="00065ECF"/>
    <w:rsid w:val="00066005"/>
    <w:rsid w:val="00070D6F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4CDE"/>
    <w:rsid w:val="000D4F7C"/>
    <w:rsid w:val="000D6ADB"/>
    <w:rsid w:val="000D6DB2"/>
    <w:rsid w:val="000E3A88"/>
    <w:rsid w:val="000F2838"/>
    <w:rsid w:val="000F43E0"/>
    <w:rsid w:val="00107F8E"/>
    <w:rsid w:val="00111BF0"/>
    <w:rsid w:val="00113C28"/>
    <w:rsid w:val="00117091"/>
    <w:rsid w:val="00121716"/>
    <w:rsid w:val="00123D5A"/>
    <w:rsid w:val="00124E8A"/>
    <w:rsid w:val="00125042"/>
    <w:rsid w:val="00130872"/>
    <w:rsid w:val="00130AD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76E"/>
    <w:rsid w:val="001B17BB"/>
    <w:rsid w:val="001C2AB5"/>
    <w:rsid w:val="001C58BE"/>
    <w:rsid w:val="001C6D8A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5B7F"/>
    <w:rsid w:val="0020754A"/>
    <w:rsid w:val="00207E4A"/>
    <w:rsid w:val="0021186C"/>
    <w:rsid w:val="0021306E"/>
    <w:rsid w:val="002141E3"/>
    <w:rsid w:val="00214667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1978"/>
    <w:rsid w:val="00265135"/>
    <w:rsid w:val="002665EF"/>
    <w:rsid w:val="00267B04"/>
    <w:rsid w:val="00271356"/>
    <w:rsid w:val="00272352"/>
    <w:rsid w:val="00273888"/>
    <w:rsid w:val="00273A52"/>
    <w:rsid w:val="00274A3D"/>
    <w:rsid w:val="00274F54"/>
    <w:rsid w:val="00283938"/>
    <w:rsid w:val="00283B5A"/>
    <w:rsid w:val="00283E27"/>
    <w:rsid w:val="002948A3"/>
    <w:rsid w:val="0029673E"/>
    <w:rsid w:val="00296DD5"/>
    <w:rsid w:val="002A5001"/>
    <w:rsid w:val="002B14AB"/>
    <w:rsid w:val="002C36B2"/>
    <w:rsid w:val="002C69BA"/>
    <w:rsid w:val="002C7450"/>
    <w:rsid w:val="002D7BF7"/>
    <w:rsid w:val="002E0141"/>
    <w:rsid w:val="002E4A57"/>
    <w:rsid w:val="002E4CC3"/>
    <w:rsid w:val="002E6DD3"/>
    <w:rsid w:val="002E7767"/>
    <w:rsid w:val="002F47C5"/>
    <w:rsid w:val="002F67CF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6F94"/>
    <w:rsid w:val="00327CAD"/>
    <w:rsid w:val="0033234B"/>
    <w:rsid w:val="00332D32"/>
    <w:rsid w:val="00333F7C"/>
    <w:rsid w:val="00334FB2"/>
    <w:rsid w:val="003356C5"/>
    <w:rsid w:val="00336683"/>
    <w:rsid w:val="0034025A"/>
    <w:rsid w:val="00341C9C"/>
    <w:rsid w:val="003431B5"/>
    <w:rsid w:val="00344C02"/>
    <w:rsid w:val="003452D7"/>
    <w:rsid w:val="00347D9C"/>
    <w:rsid w:val="00350389"/>
    <w:rsid w:val="0035143A"/>
    <w:rsid w:val="00353F5B"/>
    <w:rsid w:val="00357CB1"/>
    <w:rsid w:val="00362097"/>
    <w:rsid w:val="00363818"/>
    <w:rsid w:val="00364E7C"/>
    <w:rsid w:val="0036708E"/>
    <w:rsid w:val="00381956"/>
    <w:rsid w:val="0038283C"/>
    <w:rsid w:val="003939E4"/>
    <w:rsid w:val="003944C3"/>
    <w:rsid w:val="00394A8C"/>
    <w:rsid w:val="003A2E00"/>
    <w:rsid w:val="003A4520"/>
    <w:rsid w:val="003A6657"/>
    <w:rsid w:val="003A7FD7"/>
    <w:rsid w:val="003B2ECC"/>
    <w:rsid w:val="003C4830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6172"/>
    <w:rsid w:val="004149A1"/>
    <w:rsid w:val="00415195"/>
    <w:rsid w:val="004202A4"/>
    <w:rsid w:val="00422E06"/>
    <w:rsid w:val="00423190"/>
    <w:rsid w:val="00424003"/>
    <w:rsid w:val="00434EC0"/>
    <w:rsid w:val="004366D2"/>
    <w:rsid w:val="004422C9"/>
    <w:rsid w:val="0044359B"/>
    <w:rsid w:val="00446D1F"/>
    <w:rsid w:val="004516CB"/>
    <w:rsid w:val="00452629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201"/>
    <w:rsid w:val="004C6CCA"/>
    <w:rsid w:val="004D190D"/>
    <w:rsid w:val="004D1B6A"/>
    <w:rsid w:val="004D43F7"/>
    <w:rsid w:val="004D496B"/>
    <w:rsid w:val="004D7659"/>
    <w:rsid w:val="004E2841"/>
    <w:rsid w:val="004F054C"/>
    <w:rsid w:val="004F65C4"/>
    <w:rsid w:val="005053EF"/>
    <w:rsid w:val="0050743A"/>
    <w:rsid w:val="00507C2C"/>
    <w:rsid w:val="005123BF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82ACF"/>
    <w:rsid w:val="00583D41"/>
    <w:rsid w:val="00586441"/>
    <w:rsid w:val="00586FC1"/>
    <w:rsid w:val="00587875"/>
    <w:rsid w:val="00590DAD"/>
    <w:rsid w:val="00591696"/>
    <w:rsid w:val="00592439"/>
    <w:rsid w:val="00592CDF"/>
    <w:rsid w:val="005A6AF4"/>
    <w:rsid w:val="005B26CF"/>
    <w:rsid w:val="005B2E16"/>
    <w:rsid w:val="005B4655"/>
    <w:rsid w:val="005B5C22"/>
    <w:rsid w:val="005B79C6"/>
    <w:rsid w:val="005C018A"/>
    <w:rsid w:val="005C024C"/>
    <w:rsid w:val="005C1493"/>
    <w:rsid w:val="005C21D3"/>
    <w:rsid w:val="005C68AD"/>
    <w:rsid w:val="005D1878"/>
    <w:rsid w:val="005D1EEA"/>
    <w:rsid w:val="005D42CE"/>
    <w:rsid w:val="005D481E"/>
    <w:rsid w:val="005E210C"/>
    <w:rsid w:val="005E4F88"/>
    <w:rsid w:val="005F20D3"/>
    <w:rsid w:val="005F44D1"/>
    <w:rsid w:val="005F78D5"/>
    <w:rsid w:val="006104C6"/>
    <w:rsid w:val="0061360D"/>
    <w:rsid w:val="00620D65"/>
    <w:rsid w:val="006237E5"/>
    <w:rsid w:val="0063417E"/>
    <w:rsid w:val="0064355A"/>
    <w:rsid w:val="006456AB"/>
    <w:rsid w:val="00645917"/>
    <w:rsid w:val="00647880"/>
    <w:rsid w:val="00651C0A"/>
    <w:rsid w:val="00655669"/>
    <w:rsid w:val="006608F0"/>
    <w:rsid w:val="006643C8"/>
    <w:rsid w:val="0066607C"/>
    <w:rsid w:val="00667053"/>
    <w:rsid w:val="00667AB0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64B4"/>
    <w:rsid w:val="006D6888"/>
    <w:rsid w:val="006E430C"/>
    <w:rsid w:val="006E508D"/>
    <w:rsid w:val="006E5DB3"/>
    <w:rsid w:val="006F3E3F"/>
    <w:rsid w:val="006F4B58"/>
    <w:rsid w:val="006F5029"/>
    <w:rsid w:val="0070103E"/>
    <w:rsid w:val="0070137D"/>
    <w:rsid w:val="00701A42"/>
    <w:rsid w:val="00701F28"/>
    <w:rsid w:val="007101A7"/>
    <w:rsid w:val="00713E48"/>
    <w:rsid w:val="00717891"/>
    <w:rsid w:val="007228C0"/>
    <w:rsid w:val="00722AFF"/>
    <w:rsid w:val="007245FA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5EE6"/>
    <w:rsid w:val="00766489"/>
    <w:rsid w:val="007729C7"/>
    <w:rsid w:val="007767BA"/>
    <w:rsid w:val="00787F11"/>
    <w:rsid w:val="00792027"/>
    <w:rsid w:val="00792D58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E17CA"/>
    <w:rsid w:val="007E4637"/>
    <w:rsid w:val="007E6EAD"/>
    <w:rsid w:val="007F1358"/>
    <w:rsid w:val="007F7759"/>
    <w:rsid w:val="00800882"/>
    <w:rsid w:val="00800EF4"/>
    <w:rsid w:val="00802799"/>
    <w:rsid w:val="008038E7"/>
    <w:rsid w:val="00803B9B"/>
    <w:rsid w:val="0080580D"/>
    <w:rsid w:val="0080626B"/>
    <w:rsid w:val="0082120E"/>
    <w:rsid w:val="00821552"/>
    <w:rsid w:val="00822018"/>
    <w:rsid w:val="0082763B"/>
    <w:rsid w:val="00827CB7"/>
    <w:rsid w:val="00832A1A"/>
    <w:rsid w:val="00841788"/>
    <w:rsid w:val="00845F4E"/>
    <w:rsid w:val="00847C97"/>
    <w:rsid w:val="00850770"/>
    <w:rsid w:val="008508A6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32F90"/>
    <w:rsid w:val="00935BFA"/>
    <w:rsid w:val="00942B78"/>
    <w:rsid w:val="009430EE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5B5"/>
    <w:rsid w:val="00984C0D"/>
    <w:rsid w:val="00986C45"/>
    <w:rsid w:val="009916B9"/>
    <w:rsid w:val="00991AD9"/>
    <w:rsid w:val="00993763"/>
    <w:rsid w:val="00993C64"/>
    <w:rsid w:val="009A18A0"/>
    <w:rsid w:val="009A6117"/>
    <w:rsid w:val="009B1BFB"/>
    <w:rsid w:val="009B4B0E"/>
    <w:rsid w:val="009B5DF6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7A4D"/>
    <w:rsid w:val="00A4037A"/>
    <w:rsid w:val="00A41F78"/>
    <w:rsid w:val="00A4212D"/>
    <w:rsid w:val="00A56CC7"/>
    <w:rsid w:val="00A61675"/>
    <w:rsid w:val="00A639D3"/>
    <w:rsid w:val="00A63BE6"/>
    <w:rsid w:val="00A66B92"/>
    <w:rsid w:val="00A74B0E"/>
    <w:rsid w:val="00A7512C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C4F7D"/>
    <w:rsid w:val="00BD0B9F"/>
    <w:rsid w:val="00BD30AC"/>
    <w:rsid w:val="00BD40F7"/>
    <w:rsid w:val="00BD42B0"/>
    <w:rsid w:val="00BD712C"/>
    <w:rsid w:val="00BE07D2"/>
    <w:rsid w:val="00BE4B7F"/>
    <w:rsid w:val="00BE4B8F"/>
    <w:rsid w:val="00BE563D"/>
    <w:rsid w:val="00BF34F4"/>
    <w:rsid w:val="00BF57D4"/>
    <w:rsid w:val="00BF65A0"/>
    <w:rsid w:val="00BF6DF2"/>
    <w:rsid w:val="00BF73C3"/>
    <w:rsid w:val="00C0272F"/>
    <w:rsid w:val="00C04519"/>
    <w:rsid w:val="00C04E53"/>
    <w:rsid w:val="00C06034"/>
    <w:rsid w:val="00C11028"/>
    <w:rsid w:val="00C2095B"/>
    <w:rsid w:val="00C23722"/>
    <w:rsid w:val="00C23916"/>
    <w:rsid w:val="00C23BBC"/>
    <w:rsid w:val="00C26982"/>
    <w:rsid w:val="00C27A95"/>
    <w:rsid w:val="00C40022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4EE8"/>
    <w:rsid w:val="00D06602"/>
    <w:rsid w:val="00D06F2E"/>
    <w:rsid w:val="00D07510"/>
    <w:rsid w:val="00D10DAC"/>
    <w:rsid w:val="00D17D91"/>
    <w:rsid w:val="00D2371C"/>
    <w:rsid w:val="00D27910"/>
    <w:rsid w:val="00D27BA7"/>
    <w:rsid w:val="00D335BF"/>
    <w:rsid w:val="00D35348"/>
    <w:rsid w:val="00D36576"/>
    <w:rsid w:val="00D40C3B"/>
    <w:rsid w:val="00D45571"/>
    <w:rsid w:val="00D46133"/>
    <w:rsid w:val="00D50637"/>
    <w:rsid w:val="00D51326"/>
    <w:rsid w:val="00D533F9"/>
    <w:rsid w:val="00D53F54"/>
    <w:rsid w:val="00D55020"/>
    <w:rsid w:val="00D550B1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61F7"/>
    <w:rsid w:val="00E01CD8"/>
    <w:rsid w:val="00E1062F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44CAA"/>
    <w:rsid w:val="00E501B0"/>
    <w:rsid w:val="00E506BC"/>
    <w:rsid w:val="00E520ED"/>
    <w:rsid w:val="00E52114"/>
    <w:rsid w:val="00E53D7A"/>
    <w:rsid w:val="00E565E9"/>
    <w:rsid w:val="00E7260D"/>
    <w:rsid w:val="00E73889"/>
    <w:rsid w:val="00E74AEC"/>
    <w:rsid w:val="00E8027D"/>
    <w:rsid w:val="00E803B1"/>
    <w:rsid w:val="00E8082A"/>
    <w:rsid w:val="00E81990"/>
    <w:rsid w:val="00E8287B"/>
    <w:rsid w:val="00E8363F"/>
    <w:rsid w:val="00E8514D"/>
    <w:rsid w:val="00E8570D"/>
    <w:rsid w:val="00E87F0A"/>
    <w:rsid w:val="00E9516A"/>
    <w:rsid w:val="00E9672E"/>
    <w:rsid w:val="00EB04B1"/>
    <w:rsid w:val="00EB075A"/>
    <w:rsid w:val="00EB0DA6"/>
    <w:rsid w:val="00EB1A10"/>
    <w:rsid w:val="00EB3AC2"/>
    <w:rsid w:val="00EB6E87"/>
    <w:rsid w:val="00ED30CE"/>
    <w:rsid w:val="00EE6FB3"/>
    <w:rsid w:val="00EF20BD"/>
    <w:rsid w:val="00EF2280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ECB"/>
    <w:rsid w:val="00F338FE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4BB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LEIS/L8666con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lanalto.gov.br/ccivil_03/_ato2011-2014/2011/Lei/L12462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@id.uff.br" TargetMode="External"/><Relationship Id="rId17" Type="http://schemas.openxmlformats.org/officeDocument/2006/relationships/hyperlink" Target="http://www.planalto.gov.br/ccivil_03/_ato2011-2014/2011/Lei/L12462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LEIS/L8666cons.htm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iz_affonso@id.uff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nj.jus.b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rciab@prefeitura.uff.br" TargetMode="External"/><Relationship Id="rId19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hyperlink" Target="http://www.portaltransparencia.gov.b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10010</Words>
  <Characters>54058</Characters>
  <Application>Microsoft Office Word</Application>
  <DocSecurity>0</DocSecurity>
  <Lines>450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63941</CharactersWithSpaces>
  <SharedDoc>false</SharedDoc>
  <HLinks>
    <vt:vector size="90" baseType="variant">
      <vt:variant>
        <vt:i4>3014763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24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6619197</vt:i4>
      </vt:variant>
      <vt:variant>
        <vt:i4>18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16</cp:revision>
  <cp:lastPrinted>2018-10-04T14:03:00Z</cp:lastPrinted>
  <dcterms:created xsi:type="dcterms:W3CDTF">2018-03-22T14:19:00Z</dcterms:created>
  <dcterms:modified xsi:type="dcterms:W3CDTF">2018-10-04T14:42:00Z</dcterms:modified>
</cp:coreProperties>
</file>