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1D" w:rsidRDefault="00240C8D">
      <w:pPr>
        <w:rPr>
          <w:rFonts w:asciiTheme="minorHAnsi" w:hAnsiTheme="minorHAnsi" w:cs="Arial"/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635</wp:posOffset>
            </wp:positionV>
            <wp:extent cx="640080" cy="619125"/>
            <wp:effectExtent l="0" t="0" r="0" b="0"/>
            <wp:wrapNone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sz w:val="16"/>
          <w:szCs w:val="16"/>
        </w:rPr>
        <w:t xml:space="preserve">    </w:t>
      </w:r>
      <w:r>
        <w:rPr>
          <w:rFonts w:asciiTheme="minorHAnsi" w:hAnsiTheme="minorHAnsi" w:cs="Arial"/>
          <w:b/>
          <w:sz w:val="16"/>
          <w:szCs w:val="16"/>
        </w:rPr>
        <w:br/>
      </w:r>
    </w:p>
    <w:p w:rsidR="0035251D" w:rsidRDefault="0035251D">
      <w:pPr>
        <w:jc w:val="center"/>
        <w:rPr>
          <w:rFonts w:asciiTheme="minorHAnsi" w:hAnsiTheme="minorHAnsi" w:cs="Arial"/>
          <w:sz w:val="16"/>
          <w:szCs w:val="16"/>
        </w:rPr>
      </w:pPr>
    </w:p>
    <w:p w:rsidR="0035251D" w:rsidRDefault="0035251D">
      <w:pPr>
        <w:jc w:val="center"/>
        <w:rPr>
          <w:rFonts w:asciiTheme="minorHAnsi" w:hAnsiTheme="minorHAnsi" w:cs="Arial"/>
          <w:sz w:val="16"/>
          <w:szCs w:val="16"/>
        </w:rPr>
      </w:pPr>
    </w:p>
    <w:p w:rsidR="0035251D" w:rsidRDefault="0035251D">
      <w:pPr>
        <w:jc w:val="center"/>
        <w:rPr>
          <w:rFonts w:asciiTheme="minorHAnsi" w:hAnsiTheme="minorHAnsi" w:cs="Arial"/>
          <w:sz w:val="16"/>
          <w:szCs w:val="16"/>
        </w:rPr>
      </w:pPr>
    </w:p>
    <w:p w:rsidR="0035251D" w:rsidRDefault="0035251D">
      <w:pPr>
        <w:jc w:val="center"/>
        <w:rPr>
          <w:rFonts w:asciiTheme="minorHAnsi" w:hAnsiTheme="minorHAnsi" w:cs="Arial"/>
          <w:sz w:val="16"/>
          <w:szCs w:val="16"/>
        </w:rPr>
      </w:pPr>
    </w:p>
    <w:p w:rsidR="0035251D" w:rsidRDefault="00240C8D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MINISTÉRIO DA EDUCAÇÃO</w:t>
      </w:r>
    </w:p>
    <w:p w:rsidR="0035251D" w:rsidRDefault="00240C8D">
      <w:pPr>
        <w:pStyle w:val="Ttulo1"/>
        <w:spacing w:before="0"/>
        <w:jc w:val="center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UNIVERSIDADE FEDERAL FLUMINENSE</w:t>
      </w:r>
    </w:p>
    <w:p w:rsidR="0035251D" w:rsidRDefault="00240C8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 REITORIA DE ADMINISTRAÇÃO</w:t>
      </w:r>
    </w:p>
    <w:p w:rsidR="0035251D" w:rsidRDefault="0035251D">
      <w:pPr>
        <w:pStyle w:val="Default"/>
        <w:rPr>
          <w:rFonts w:asciiTheme="minorHAnsi" w:hAnsiTheme="minorHAnsi"/>
          <w:b/>
          <w:sz w:val="16"/>
          <w:szCs w:val="16"/>
        </w:rPr>
      </w:pPr>
    </w:p>
    <w:p w:rsidR="0035251D" w:rsidRDefault="00240C8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PREGÃO ELETRÔNICO Nº 84/2019</w:t>
      </w:r>
    </w:p>
    <w:p w:rsidR="0035251D" w:rsidRDefault="0035251D">
      <w:pPr>
        <w:pStyle w:val="Default"/>
        <w:rPr>
          <w:rFonts w:asciiTheme="minorHAnsi" w:hAnsiTheme="minorHAnsi"/>
          <w:b/>
          <w:sz w:val="16"/>
          <w:szCs w:val="16"/>
        </w:rPr>
      </w:pPr>
    </w:p>
    <w:p w:rsidR="0035251D" w:rsidRDefault="00240C8D">
      <w:pPr>
        <w:pStyle w:val="Ttulo7"/>
        <w:rPr>
          <w:rFonts w:asciiTheme="minorHAnsi" w:hAnsiTheme="minorHAnsi" w:cs="Arial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  <w:u w:val="none"/>
        </w:rPr>
        <w:t>ANEXO  VII DO EDITAL</w:t>
      </w:r>
    </w:p>
    <w:p w:rsidR="0035251D" w:rsidRDefault="0035251D">
      <w:pPr>
        <w:pStyle w:val="Ttulo7"/>
        <w:rPr>
          <w:rFonts w:asciiTheme="minorHAnsi" w:hAnsiTheme="minorHAnsi" w:cs="Arial"/>
          <w:sz w:val="16"/>
          <w:szCs w:val="16"/>
        </w:rPr>
      </w:pPr>
    </w:p>
    <w:p w:rsidR="0035251D" w:rsidRDefault="00240C8D">
      <w:pPr>
        <w:pStyle w:val="Ttulo7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MEMÓRIA DE CÁLCULO DA PLANILHA DE CUSTO E FORMAÇÃO DE PREÇO</w:t>
      </w:r>
    </w:p>
    <w:p w:rsidR="0035251D" w:rsidRDefault="0035251D">
      <w:pPr>
        <w:rPr>
          <w:rFonts w:asciiTheme="minorHAnsi" w:hAnsiTheme="minorHAnsi" w:cs="Arial"/>
          <w:sz w:val="16"/>
          <w:szCs w:val="16"/>
          <w:lang w:val="pt-PT"/>
        </w:rPr>
      </w:pPr>
    </w:p>
    <w:p w:rsidR="0035251D" w:rsidRDefault="0035251D">
      <w:pPr>
        <w:rPr>
          <w:rFonts w:asciiTheme="minorHAnsi" w:hAnsiTheme="minorHAnsi" w:cs="Arial"/>
          <w:b/>
          <w:sz w:val="16"/>
          <w:szCs w:val="16"/>
          <w:u w:val="single"/>
          <w:lang w:val="pt-PT"/>
        </w:rPr>
      </w:pPr>
    </w:p>
    <w:p w:rsidR="0035251D" w:rsidRDefault="00240C8D">
      <w:pPr>
        <w:pStyle w:val="A010165"/>
        <w:rPr>
          <w:rFonts w:ascii="Calibri" w:hAnsi="Calibri" w:cs="Arial"/>
          <w:b/>
          <w:i/>
        </w:rPr>
      </w:pPr>
      <w:r>
        <w:rPr>
          <w:rFonts w:ascii="Calibri" w:hAnsi="Calibri" w:cs="Arial"/>
          <w:b/>
          <w:i/>
        </w:rPr>
        <w:t>A empresa deverá declarar em qual REGIME DE TRIBUTAÇÃO se enquadra, e não poderá se beneficiar da condição de optante pelo Simples Nacional, salvo as exceções previstas no § 5º-C do art. 18 da Lei Complementar nº 123, de 14 de dezembro de 2006; pois se caso vencedora será obrigatória à exclusão desse regime, logo os custos atribuídos a esta prestação de serviço, com cessão de mão de obra deverão estar corretamente previstos.</w:t>
      </w:r>
    </w:p>
    <w:p w:rsidR="0035251D" w:rsidRDefault="0035251D">
      <w:pPr>
        <w:pStyle w:val="Default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35251D" w:rsidRDefault="0035251D">
      <w:pPr>
        <w:pStyle w:val="Default"/>
        <w:jc w:val="both"/>
        <w:rPr>
          <w:rFonts w:ascii="Calibri" w:hAnsi="Calibri"/>
          <w:b/>
          <w:u w:val="single"/>
        </w:rPr>
      </w:pPr>
    </w:p>
    <w:p w:rsidR="0035251D" w:rsidRDefault="00240C8D">
      <w:pPr>
        <w:rPr>
          <w:rFonts w:ascii="Calibri" w:hAnsi="Calibri" w:cs="Arial"/>
          <w:b/>
          <w:u w:val="single"/>
          <w:lang w:val="pt-PT"/>
        </w:rPr>
      </w:pPr>
      <w:r>
        <w:rPr>
          <w:rFonts w:ascii="Calibri" w:hAnsi="Calibri" w:cs="Arial"/>
          <w:b/>
          <w:u w:val="single"/>
          <w:lang w:val="pt-PT"/>
        </w:rPr>
        <w:t>Módulo 1 – Composição da Remuneração</w:t>
      </w:r>
    </w:p>
    <w:p w:rsidR="0035251D" w:rsidRDefault="0035251D">
      <w:pPr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A) Salário Base </w:t>
      </w:r>
    </w:p>
    <w:p w:rsidR="0035251D" w:rsidRDefault="0035251D">
      <w:pPr>
        <w:pStyle w:val="Default"/>
        <w:jc w:val="both"/>
        <w:rPr>
          <w:rStyle w:val="Fontepargpadro6"/>
          <w:rFonts w:ascii="Calibri" w:hAnsi="Calibri"/>
          <w:sz w:val="20"/>
          <w:szCs w:val="20"/>
        </w:rPr>
      </w:pPr>
    </w:p>
    <w:p w:rsidR="0035251D" w:rsidRDefault="00240C8D">
      <w:pPr>
        <w:pStyle w:val="Default"/>
        <w:jc w:val="both"/>
        <w:rPr>
          <w:rStyle w:val="Fontepargpadro6"/>
          <w:rFonts w:ascii="Calibri" w:hAnsi="Calibri"/>
          <w:sz w:val="20"/>
          <w:szCs w:val="20"/>
          <w:highlight w:val="yellow"/>
        </w:rPr>
      </w:pPr>
      <w:r>
        <w:rPr>
          <w:rStyle w:val="Fontepargpadro6"/>
          <w:rFonts w:ascii="Calibri" w:hAnsi="Calibri"/>
          <w:sz w:val="20"/>
          <w:szCs w:val="20"/>
        </w:rPr>
        <w:t>A empresa deverá indicar qual seu enquadramento sindical, sendo a elaboração de sua proposta de acordo com a convenção coletiva do sindicato relacionado à sua atividade preponderante (</w:t>
      </w:r>
      <w:proofErr w:type="spellStart"/>
      <w:r>
        <w:rPr>
          <w:rStyle w:val="Fontepargpadro6"/>
          <w:rFonts w:ascii="Calibri" w:hAnsi="Calibri"/>
          <w:sz w:val="20"/>
          <w:szCs w:val="20"/>
        </w:rPr>
        <w:t>Arts</w:t>
      </w:r>
      <w:proofErr w:type="spellEnd"/>
      <w:r>
        <w:rPr>
          <w:rStyle w:val="Fontepargpadro6"/>
          <w:rFonts w:ascii="Calibri" w:hAnsi="Calibri"/>
          <w:sz w:val="20"/>
          <w:szCs w:val="20"/>
        </w:rPr>
        <w:t>. 570, 577 e 581, §2º da CLT, Art. 8º, II, CF e Acórdão TCU 1097/2019, Plenário). Os valores dos salários e benefícios dos profissionais previstos neste Edital foram considerados de acordo com o estabelecido pelo SINDICATO DAS EMPRESAS DE SERVICOS TERCEIRIZAVEIS TRABALHO TEMPORARIO LIMPEZA E CONSERVACAO AMBIENTAL DO ESTADO DO PARÁ e SIND DOS TRAB DE EMP DE A CONS HIG LIMP E SIM DO EST PARÁ, por meio da Convenção Coletiva de Trabalho 2018/2019, registrada sob o nº PA000112/2018.</w:t>
      </w:r>
    </w:p>
    <w:p w:rsidR="0035251D" w:rsidRDefault="0035251D">
      <w:pPr>
        <w:pStyle w:val="Default"/>
        <w:jc w:val="both"/>
        <w:rPr>
          <w:rFonts w:ascii="Calibri" w:hAnsi="Calibri"/>
          <w:b/>
          <w:u w:val="single"/>
        </w:rPr>
      </w:pPr>
    </w:p>
    <w:tbl>
      <w:tblPr>
        <w:tblStyle w:val="TabeladeGrade6Colorida-nfase31"/>
        <w:tblW w:w="9351" w:type="dxa"/>
        <w:tblLook w:val="04E0" w:firstRow="1" w:lastRow="1" w:firstColumn="1" w:lastColumn="0" w:noHBand="0" w:noVBand="1"/>
      </w:tblPr>
      <w:tblGrid>
        <w:gridCol w:w="3680"/>
        <w:gridCol w:w="1559"/>
        <w:gridCol w:w="4112"/>
      </w:tblGrid>
      <w:tr w:rsidR="0035251D" w:rsidTr="00352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tcBorders>
              <w:bottom w:val="single" w:sz="12" w:space="0" w:color="C2D69B"/>
            </w:tcBorders>
            <w:shd w:val="clear" w:color="auto" w:fill="4F6228" w:themeFill="accent3" w:themeFillShade="80"/>
          </w:tcPr>
          <w:p w:rsidR="0035251D" w:rsidRDefault="00240C8D">
            <w:pPr>
              <w:jc w:val="center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color w:val="BFBFBF" w:themeColor="background1" w:themeShade="BF"/>
                <w:sz w:val="18"/>
                <w:szCs w:val="18"/>
              </w:rPr>
              <w:t>CATEGORIA</w:t>
            </w:r>
          </w:p>
        </w:tc>
        <w:tc>
          <w:tcPr>
            <w:tcW w:w="1559" w:type="dxa"/>
            <w:tcBorders>
              <w:bottom w:val="single" w:sz="12" w:space="0" w:color="C2D69B"/>
            </w:tcBorders>
            <w:shd w:val="clear" w:color="auto" w:fill="4F6228" w:themeFill="accent3" w:themeFillShade="80"/>
          </w:tcPr>
          <w:p w:rsidR="0035251D" w:rsidRDefault="00240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color w:val="BFBFBF" w:themeColor="background1" w:themeShade="BF"/>
                <w:sz w:val="18"/>
                <w:szCs w:val="18"/>
              </w:rPr>
              <w:t>SALÁRIO (R$)</w:t>
            </w:r>
          </w:p>
        </w:tc>
        <w:tc>
          <w:tcPr>
            <w:tcW w:w="4112" w:type="dxa"/>
            <w:tcBorders>
              <w:bottom w:val="single" w:sz="12" w:space="0" w:color="C2D69B"/>
            </w:tcBorders>
            <w:shd w:val="clear" w:color="auto" w:fill="4F6228" w:themeFill="accent3" w:themeFillShade="80"/>
          </w:tcPr>
          <w:p w:rsidR="0035251D" w:rsidRDefault="00240C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Cs w:val="0"/>
                <w:color w:val="BFBFBF" w:themeColor="background1" w:themeShade="BF"/>
                <w:sz w:val="18"/>
                <w:szCs w:val="18"/>
              </w:rPr>
              <w:t xml:space="preserve">REFERÊNCIA </w:t>
            </w:r>
          </w:p>
        </w:tc>
      </w:tr>
      <w:tr w:rsidR="0035251D" w:rsidTr="003525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0" w:type="dxa"/>
            <w:tcBorders>
              <w:top w:val="double" w:sz="4" w:space="0" w:color="C2D69B"/>
            </w:tcBorders>
            <w:shd w:val="clear" w:color="auto" w:fill="auto"/>
          </w:tcPr>
          <w:p w:rsidR="0035251D" w:rsidRDefault="00240C8D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76923C" w:themeColor="accent3" w:themeShade="BF"/>
                <w:sz w:val="18"/>
                <w:szCs w:val="18"/>
              </w:rPr>
              <w:t>Auxiliar de Cozinha</w:t>
            </w:r>
          </w:p>
        </w:tc>
        <w:tc>
          <w:tcPr>
            <w:tcW w:w="1559" w:type="dxa"/>
            <w:tcBorders>
              <w:top w:val="double" w:sz="4" w:space="0" w:color="C2D69B"/>
            </w:tcBorders>
            <w:shd w:val="clear" w:color="auto" w:fill="auto"/>
          </w:tcPr>
          <w:p w:rsidR="0035251D" w:rsidRDefault="00240C8D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76923C" w:themeColor="accent3" w:themeShade="BF"/>
                <w:sz w:val="18"/>
                <w:szCs w:val="18"/>
              </w:rPr>
              <w:t>R$ 1.057,60</w:t>
            </w:r>
          </w:p>
        </w:tc>
        <w:tc>
          <w:tcPr>
            <w:tcW w:w="4112" w:type="dxa"/>
            <w:tcBorders>
              <w:top w:val="double" w:sz="4" w:space="0" w:color="C2D69B"/>
            </w:tcBorders>
            <w:shd w:val="clear" w:color="auto" w:fill="auto"/>
          </w:tcPr>
          <w:p w:rsidR="0035251D" w:rsidRDefault="00240C8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76923C" w:themeColor="accent3" w:themeShade="BF"/>
                <w:sz w:val="18"/>
                <w:szCs w:val="18"/>
              </w:rPr>
              <w:t>CCT 2018/2019 – PA000112/2018</w:t>
            </w:r>
          </w:p>
        </w:tc>
      </w:tr>
    </w:tbl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 e C) Adicional de Insalubridade/Periculosidade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há previsão inicial para esses custos. Poderá ser alvo de reequilíbrio após apresentação de laudo.</w:t>
      </w: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D) Adicional Noturno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há previsão para esse custo.</w:t>
      </w:r>
    </w:p>
    <w:p w:rsidR="0035251D" w:rsidRDefault="0035251D">
      <w:pPr>
        <w:spacing w:line="276" w:lineRule="auto"/>
        <w:jc w:val="both"/>
        <w:rPr>
          <w:rFonts w:ascii="Calibri" w:hAnsi="Calibri" w:cs="Arial"/>
          <w:b/>
          <w:sz w:val="16"/>
          <w:szCs w:val="16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E) Adicional de hora noturna reduzida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Não há previsão para esse custo.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proofErr w:type="gramStart"/>
      <w:r>
        <w:rPr>
          <w:rFonts w:ascii="Calibri" w:hAnsi="Calibri" w:cs="Arial"/>
          <w:b/>
        </w:rPr>
        <w:t>F) Outros</w:t>
      </w:r>
      <w:proofErr w:type="gramEnd"/>
      <w:r>
        <w:rPr>
          <w:rFonts w:ascii="Calibri" w:hAnsi="Calibri" w:cs="Arial"/>
          <w:b/>
        </w:rPr>
        <w:t xml:space="preserve"> (Adicional de Hora Extra):</w:t>
      </w:r>
    </w:p>
    <w:p w:rsidR="0035251D" w:rsidRDefault="00240C8D">
      <w:pPr>
        <w:spacing w:line="276" w:lineRule="auto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  <w:b/>
        </w:rPr>
        <w:t xml:space="preserve">Hora </w:t>
      </w:r>
      <w:proofErr w:type="gramStart"/>
      <w:r>
        <w:rPr>
          <w:rFonts w:ascii="Calibri" w:hAnsi="Calibri" w:cs="Arial"/>
          <w:b/>
        </w:rPr>
        <w:t>extra por</w:t>
      </w:r>
      <w:proofErr w:type="gramEnd"/>
      <w:r>
        <w:rPr>
          <w:rFonts w:ascii="Calibri" w:hAnsi="Calibri" w:cs="Arial"/>
          <w:b/>
        </w:rPr>
        <w:t xml:space="preserve"> regime especial (escala 12x36h diurno) – Previsão de 60h extras, conforme </w:t>
      </w:r>
      <w:r>
        <w:rPr>
          <w:rFonts w:ascii="Calibri" w:hAnsi="Calibri" w:cs="Arial"/>
        </w:rPr>
        <w:t>Cláusula 33ª da CCT</w:t>
      </w:r>
      <w:r>
        <w:rPr>
          <w:rFonts w:ascii="Calibri" w:hAnsi="Calibri" w:cs="Arial"/>
          <w:color w:val="FF0000"/>
        </w:rPr>
        <w:t>.</w:t>
      </w: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=60*((salário base/horas </w:t>
      </w:r>
      <w:proofErr w:type="gramStart"/>
      <w:r>
        <w:rPr>
          <w:rFonts w:ascii="Calibri" w:hAnsi="Calibri" w:cs="Arial"/>
          <w:b/>
        </w:rPr>
        <w:t>trabalhadas)*</w:t>
      </w:r>
      <w:proofErr w:type="gramEnd"/>
      <w:r>
        <w:rPr>
          <w:rFonts w:ascii="Calibri" w:hAnsi="Calibri" w:cs="Arial"/>
          <w:b/>
        </w:rPr>
        <w:t>50%)</w:t>
      </w: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Horas trabalhados = MMDT x 12h = 15,21x12 = 182,52</w:t>
      </w: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1-A) Intrajornada</w:t>
      </w:r>
    </w:p>
    <w:p w:rsidR="0035251D" w:rsidRDefault="00240C8D">
      <w:pPr>
        <w:tabs>
          <w:tab w:val="left" w:pos="8130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Não haverá indenização e nem previsão de substituto da intrajornada. </w:t>
      </w:r>
      <w:r>
        <w:rPr>
          <w:rFonts w:asciiTheme="minorHAnsi" w:hAnsiTheme="minorHAnsi" w:cstheme="minorHAnsi"/>
        </w:rPr>
        <w:tab/>
      </w:r>
    </w:p>
    <w:p w:rsidR="0035251D" w:rsidRDefault="0035251D">
      <w:pPr>
        <w:spacing w:line="276" w:lineRule="auto"/>
        <w:jc w:val="both"/>
        <w:rPr>
          <w:rFonts w:ascii="Calibri" w:hAnsi="Calibri" w:cs="Arial"/>
          <w:b/>
          <w:sz w:val="16"/>
          <w:szCs w:val="16"/>
        </w:rPr>
      </w:pP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240C8D">
      <w:pPr>
        <w:jc w:val="both"/>
        <w:rPr>
          <w:rFonts w:ascii="Calibri" w:hAnsi="Calibri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12" behindDoc="0" locked="0" layoutInCell="1" allowOverlap="1" wp14:anchorId="3050A684">
                <wp:simplePos x="0" y="0"/>
                <wp:positionH relativeFrom="margin">
                  <wp:posOffset>1327150</wp:posOffset>
                </wp:positionH>
                <wp:positionV relativeFrom="margin">
                  <wp:posOffset>-1299845</wp:posOffset>
                </wp:positionV>
                <wp:extent cx="3334385" cy="6356985"/>
                <wp:effectExtent l="0" t="6350" r="0" b="0"/>
                <wp:wrapSquare wrapText="bothSides"/>
                <wp:docPr id="2" name="Auto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600" cy="6356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Média Mensal de Dias Trabalhados (44h)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Considerando 8 feriados nacionais,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01 feriado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estadual (data magna), 04 feriados municipais (incluindo sexta-feira da paixão).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13 feriados por ano, sendo 10 com data fixa.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Sendo assim, considerando 06 dias de trabalho (jornada de 44 horas, contando as 4 horas no sábado), temos: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10 x   6    = 8,5714    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              7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Somando-se aos feriados com data móvel (03):   8,5714 + 3=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11,5714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(por ano)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(b)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365:7 = 52,1429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semanas no ano)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(c)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52,1429 x 1 = 52,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1429  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dias de final de semana no ano)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(d)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52,1429 + 11,5714 = 63,7143 (dias não trabalhados no ano)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(e)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365 – 63,7143 = 301,2857 (dias de trabalho no ano)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(f)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301,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2857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12 =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25,11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MMDT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– Média mensal de dias trabalhados)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Média Mensal de Dias Trabalhados (12x36)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jc w:val="center"/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365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12 = 30,42   (média de dias no mês)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(b)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30,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>42 :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2 =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15,21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Cs/>
                                <w:sz w:val="18"/>
                                <w:szCs w:val="18"/>
                              </w:rPr>
                              <w:t>MMDT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18"/>
                                <w:szCs w:val="18"/>
                              </w:rPr>
                              <w:t xml:space="preserve"> – Média mensal de dias trabalhado no mês para a jornada 12x36 horas) </w:t>
                            </w:r>
                          </w:p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50A684" id="AutoForma 2" o:spid="_x0000_s1026" style="position:absolute;left:0;text-align:left;margin-left:104.5pt;margin-top:-102.35pt;width:262.55pt;height:500.55pt;rotation:90;z-index:12;visibility:visible;mso-wrap-style:square;mso-wrap-distance-left:10.8pt;mso-wrap-distance-top:7.2pt;mso-wrap-distance-right:10.8pt;mso-wrap-distance-bottom:7.2pt;mso-position-horizontal:absolute;mso-position-horizontal-relative:margin;mso-position-vertical:absolute;mso-position-vertical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" fillcolor="#fbd4b4 [1305]" stroked="f">
                <v:textbox>
                  <w:txbxContent>
                    <w:p w:rsidR="00240C8D" w:rsidRDefault="00240C8D">
                      <w:pPr>
                        <w:pStyle w:val="rtecenter"/>
                        <w:spacing w:beforeAutospacing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>Média Mensal de Dias Trabalhados (44h)</w:t>
                      </w:r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Considerando 8 feriados nacionais, 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01 feriado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estadual (data magna), 04 feriados municipais (incluindo sexta-feira da paixão).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13 feriados por ano, sendo 10 com data fixa.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Sendo assim, considerando 06 dias de trabalho (jornada de 44 horas, contando as 4 horas no sábado), temos: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(a)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10 x   6    = 8,5714    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              7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Somando-se aos feriados com data móvel (03):   8,5714 + 3= 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11,5714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(por ano)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(b)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365:7 = 52,1429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semanas no ano)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(c)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52,1429 x 1 = 52,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1429  (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dias de final de semana no ano)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(d)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52,1429 + 11,5714 = 63,7143 (dias não trabalhados no ano)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(e)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365 – 63,7143 = 301,2857 (dias de trabalho no ano)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(f)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301,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2857 :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12 = 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25,11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MMDT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– Média mensal de dias trabalhados)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20"/>
                          <w:szCs w:val="20"/>
                          <w:u w:val="single"/>
                        </w:rPr>
                        <w:t>Média Mensal de Dias Trabalhados (12x36)</w:t>
                      </w:r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jc w:val="center"/>
                        <w:rPr>
                          <w:rFonts w:asciiTheme="minorHAnsi" w:hAnsiTheme="minorHAnsi"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(a)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365 :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12 = 30,42   (média de dias no mês)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(b)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30,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>42 :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2 = 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15,21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  <w:b/>
                          <w:iCs/>
                          <w:sz w:val="18"/>
                          <w:szCs w:val="18"/>
                        </w:rPr>
                        <w:t>MMDT</w:t>
                      </w:r>
                      <w:r>
                        <w:rPr>
                          <w:rFonts w:asciiTheme="minorHAnsi" w:hAnsiTheme="minorHAnsi"/>
                          <w:iCs/>
                          <w:sz w:val="18"/>
                          <w:szCs w:val="18"/>
                        </w:rPr>
                        <w:t xml:space="preserve"> – Média mensal de dias trabalhado no mês para a jornada 12x36 horas) </w:t>
                      </w:r>
                    </w:p>
                    <w:p w:rsidR="00240C8D" w:rsidRDefault="00240C8D">
                      <w:pPr>
                        <w:pStyle w:val="rtecenter"/>
                        <w:spacing w:beforeAutospacing="0" w:afterAutospacing="0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7C1E5C3B">
                <wp:simplePos x="0" y="0"/>
                <wp:positionH relativeFrom="column">
                  <wp:posOffset>337820</wp:posOffset>
                </wp:positionH>
                <wp:positionV relativeFrom="paragraph">
                  <wp:posOffset>1437005</wp:posOffset>
                </wp:positionV>
                <wp:extent cx="222885" cy="635"/>
                <wp:effectExtent l="0" t="0" r="25400" b="19050"/>
                <wp:wrapNone/>
                <wp:docPr id="4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6pt,113.15pt" to="44.05pt,113.15pt" ID="Conector reto 9" stroked="t" style="position:absolute" wp14:anchorId="7C1E5C3B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Arial"/>
          <w:b/>
          <w:u w:val="single"/>
        </w:rPr>
        <w:t>Modulo 2 – Encargos e Benefícios Anuais, Mensais e Diários</w:t>
      </w:r>
    </w:p>
    <w:p w:rsidR="0035251D" w:rsidRDefault="0035251D">
      <w:pPr>
        <w:jc w:val="both"/>
        <w:rPr>
          <w:rFonts w:ascii="Calibri" w:hAnsi="Calibri" w:cs="Arial"/>
          <w:b/>
          <w:u w:val="single"/>
        </w:rPr>
      </w:pPr>
    </w:p>
    <w:p w:rsidR="0035251D" w:rsidRDefault="00240C8D">
      <w:pPr>
        <w:jc w:val="both"/>
        <w:rPr>
          <w:rFonts w:ascii="Calibri" w:hAnsi="Calibri" w:cs="Arial"/>
          <w:u w:val="single"/>
          <w:lang w:val="pt-PT"/>
        </w:rPr>
      </w:pPr>
      <w:r>
        <w:rPr>
          <w:rFonts w:ascii="Calibri" w:hAnsi="Calibri" w:cs="Arial"/>
          <w:u w:val="single"/>
          <w:lang w:val="pt-PT"/>
        </w:rPr>
        <w:t>Submódulo 2.1 – 13º Salário, Férias e Adicional de Férias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89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22"/>
        <w:gridCol w:w="2237"/>
        <w:gridCol w:w="841"/>
        <w:gridCol w:w="2846"/>
        <w:gridCol w:w="1673"/>
        <w:gridCol w:w="146"/>
      </w:tblGrid>
      <w:tr w:rsidR="0035251D">
        <w:trPr>
          <w:trHeight w:val="510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  <w:tc>
          <w:tcPr>
            <w:tcW w:w="15" w:type="dxa"/>
            <w:shd w:val="clear" w:color="auto" w:fill="auto"/>
          </w:tcPr>
          <w:p w:rsidR="0035251D" w:rsidRDefault="0035251D"/>
        </w:tc>
      </w:tr>
      <w:tr w:rsidR="0035251D">
        <w:trPr>
          <w:trHeight w:val="631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13º Salário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8,33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DTS = 1/12 x Remuneração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Art.7º, VIII, CF/88</w:t>
            </w:r>
          </w:p>
        </w:tc>
        <w:tc>
          <w:tcPr>
            <w:tcW w:w="15" w:type="dxa"/>
            <w:shd w:val="clear" w:color="auto" w:fill="auto"/>
          </w:tcPr>
          <w:p w:rsidR="0035251D" w:rsidRDefault="0035251D"/>
        </w:tc>
      </w:tr>
      <w:tr w:rsidR="0035251D">
        <w:trPr>
          <w:trHeight w:val="510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Férias e Adicional de Férias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12,10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FAF = 1/11 x R + 1/3 x 1/11 x 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% Conta Vinculada- Anexo XII da IN nº 05/2017</w:t>
            </w:r>
          </w:p>
        </w:tc>
        <w:tc>
          <w:tcPr>
            <w:tcW w:w="15" w:type="dxa"/>
            <w:shd w:val="clear" w:color="auto" w:fill="auto"/>
          </w:tcPr>
          <w:p w:rsidR="0035251D" w:rsidRDefault="0035251D"/>
        </w:tc>
      </w:tr>
      <w:tr w:rsidR="0035251D">
        <w:trPr>
          <w:trHeight w:val="283"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20,43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" w:type="dxa"/>
            <w:shd w:val="clear" w:color="auto" w:fill="auto"/>
          </w:tcPr>
          <w:p w:rsidR="0035251D" w:rsidRDefault="0035251D"/>
        </w:tc>
      </w:tr>
      <w:tr w:rsidR="0035251D">
        <w:trPr>
          <w:trHeight w:val="283"/>
          <w:jc w:val="center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ind w:right="-4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ind w:right="-4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Incidência do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Submódulo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2.2 - Encargos previdenciários (GPS), FGTS e outras contribuições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7,82</w:t>
            </w:r>
            <w:r>
              <w:rPr>
                <w:rStyle w:val="ncoradanotaderodap"/>
                <w:rFonts w:ascii="Calibri" w:hAnsi="Calibri" w:cs="Arial"/>
                <w:sz w:val="18"/>
                <w:szCs w:val="18"/>
              </w:rPr>
              <w:footnoteReference w:id="1"/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=Total da remuneração x Percentual da tabela do Anexo XII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% Conta Vinculada- Anexo XII da IN nº 05/2017</w:t>
            </w:r>
          </w:p>
        </w:tc>
      </w:tr>
    </w:tbl>
    <w:p w:rsidR="0035251D" w:rsidRDefault="0035251D">
      <w:pPr>
        <w:jc w:val="center"/>
        <w:rPr>
          <w:rFonts w:ascii="Calibri" w:hAnsi="Calibri" w:cs="Arial"/>
        </w:rPr>
      </w:pPr>
    </w:p>
    <w:p w:rsidR="0035251D" w:rsidRDefault="00240C8D">
      <w:pPr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1: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Como a planilha de custos e formação de preços é calculada </w:t>
      </w:r>
      <w:r>
        <w:rPr>
          <w:rFonts w:ascii="Arial" w:hAnsi="Arial" w:cs="Arial"/>
          <w:color w:val="000000"/>
          <w:sz w:val="16"/>
          <w:szCs w:val="16"/>
          <w:u w:val="single"/>
          <w:shd w:val="clear" w:color="auto" w:fill="FFFFFF"/>
        </w:rPr>
        <w:t>mensalmente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provisiona-se proporcionalmente 1/12 (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um doze avos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 dos valores referentes a gratificação natalina, férias e adicional de férias.</w:t>
      </w:r>
    </w:p>
    <w:p w:rsidR="0035251D" w:rsidRDefault="0035251D">
      <w:pPr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</w:p>
    <w:p w:rsidR="0035251D" w:rsidRDefault="00240C8D">
      <w:pPr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2: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O adicional de férias contido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Submódulo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2.1 corresponde a 1/3 (um terço) da remuneração que, por sua vez, é divido por 12 (doze) conforme Nota 1 acima.</w:t>
      </w:r>
    </w:p>
    <w:p w:rsidR="0035251D" w:rsidRDefault="0035251D">
      <w:pPr>
        <w:jc w:val="both"/>
        <w:rPr>
          <w:rFonts w:ascii="Calibri" w:hAnsi="Calibri" w:cs="Arial"/>
          <w:sz w:val="16"/>
          <w:szCs w:val="16"/>
          <w:u w:val="single"/>
        </w:rPr>
      </w:pPr>
    </w:p>
    <w:p w:rsidR="0035251D" w:rsidRDefault="00240C8D">
      <w:pPr>
        <w:jc w:val="both"/>
        <w:rPr>
          <w:rFonts w:ascii="Calibri" w:hAnsi="Calibri" w:cs="Arial"/>
          <w:sz w:val="16"/>
          <w:szCs w:val="16"/>
          <w:u w:val="single"/>
          <w:lang w:val="pt-PT"/>
        </w:rPr>
      </w:pPr>
      <w:r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3: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Levando em consideração a vigência contratual prevista no art. 57 da Lei nº 8.666, de 23 de junho de 1993, a rubrica férias tem como objetivo principal suprir a necessidade do pagamento das férias remuneradas ao final do contrato de 12 meses. Esta rubrica, quando da prorrogação contratual,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torna-se custo não renovável.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240C8D">
      <w:pPr>
        <w:jc w:val="both"/>
        <w:rPr>
          <w:rFonts w:ascii="Calibri" w:hAnsi="Calibri" w:cs="Arial"/>
          <w:u w:val="single"/>
          <w:lang w:val="pt-PT"/>
        </w:rPr>
      </w:pPr>
      <w:r>
        <w:rPr>
          <w:rFonts w:ascii="Calibri" w:hAnsi="Calibri" w:cs="Arial"/>
          <w:u w:val="single"/>
          <w:lang w:val="pt-PT"/>
        </w:rPr>
        <w:t xml:space="preserve">Submódulo 2.2 - Encargos Previdenciários (GPS), Fundo de Garantia por Tempo de Serviço (FGTS) e outras contribuições. </w:t>
      </w:r>
    </w:p>
    <w:p w:rsidR="0035251D" w:rsidRDefault="0035251D">
      <w:pPr>
        <w:rPr>
          <w:rFonts w:ascii="Calibri" w:hAnsi="Calibri" w:cs="Arial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2126"/>
        <w:gridCol w:w="850"/>
        <w:gridCol w:w="1842"/>
        <w:gridCol w:w="3344"/>
      </w:tblGrid>
      <w:tr w:rsidR="0035251D">
        <w:trPr>
          <w:trHeight w:val="72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CALCULO </w:t>
            </w:r>
          </w:p>
        </w:tc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35251D">
        <w:trPr>
          <w:trHeight w:val="316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INSS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Art.22, Inciso I da Lei 8.212/91</w:t>
            </w:r>
          </w:p>
        </w:tc>
      </w:tr>
      <w:tr w:rsidR="0035251D">
        <w:trPr>
          <w:trHeight w:val="300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SALÁRIO EDUCAÇÃO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Art.3º, Inciso I, Decreto 87.043/82</w:t>
            </w:r>
          </w:p>
        </w:tc>
      </w:tr>
      <w:tr w:rsidR="0035251D">
        <w:trPr>
          <w:trHeight w:val="330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Seguro de Acidente de Trabalho (SAT)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6,0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  <w:p w:rsidR="0035251D" w:rsidRDefault="00240C8D">
            <w:pPr>
              <w:rPr>
                <w:rFonts w:asciiTheme="minorHAnsi" w:hAnsiTheme="minorHAnsi"/>
                <w:sz w:val="16"/>
                <w:szCs w:val="16"/>
                <w:highlight w:val="white"/>
              </w:rPr>
            </w:pPr>
            <w: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RAT: 1%, 2% ou </w:t>
            </w:r>
            <w:r>
              <w:rPr>
                <w:rStyle w:val="Forte"/>
                <w:rFonts w:asciiTheme="minorHAnsi" w:hAnsiTheme="minorHAnsi"/>
                <w:b w:val="0"/>
                <w:sz w:val="16"/>
                <w:szCs w:val="16"/>
                <w:shd w:val="clear" w:color="auto" w:fill="FFFFFF"/>
              </w:rPr>
              <w:t>3%</w:t>
            </w:r>
            <w: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 x </w:t>
            </w:r>
            <w:r>
              <w:rPr>
                <w:rStyle w:val="qtip-link"/>
                <w:rFonts w:asciiTheme="minorHAnsi" w:hAnsiTheme="minorHAnsi"/>
                <w:sz w:val="16"/>
                <w:szCs w:val="16"/>
                <w:shd w:val="clear" w:color="auto" w:fill="FFFFFF"/>
              </w:rPr>
              <w:t>FAP</w:t>
            </w:r>
            <w: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: 0,5 a 2% </w:t>
            </w:r>
          </w:p>
          <w:p w:rsidR="0035251D" w:rsidRDefault="0035251D">
            <w:pPr>
              <w:rPr>
                <w:rFonts w:asciiTheme="minorHAnsi" w:hAnsiTheme="minorHAnsi"/>
                <w:sz w:val="16"/>
                <w:szCs w:val="16"/>
                <w:highlight w:val="white"/>
              </w:rPr>
            </w:pPr>
          </w:p>
          <w:p w:rsidR="0035251D" w:rsidRDefault="00240C8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color w:val="FF0000"/>
                <w:sz w:val="16"/>
              </w:rPr>
              <w:t xml:space="preserve">CNAE </w:t>
            </w:r>
            <w:r>
              <w:rPr>
                <w:rFonts w:ascii="Arial" w:hAnsi="Arial" w:cs="Arial"/>
                <w:color w:val="FF0000"/>
                <w:sz w:val="16"/>
                <w:shd w:val="clear" w:color="auto" w:fill="FFFFFF"/>
              </w:rPr>
              <w:t>5620-1/01</w:t>
            </w:r>
            <w: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= RAT </w:t>
            </w:r>
            <w:r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 xml:space="preserve">3% x 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  <w:shd w:val="clear" w:color="auto" w:fill="FFFFFF"/>
              </w:rPr>
              <w:t xml:space="preserve">2% FAP </w:t>
            </w:r>
            <w: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(considerando a maior)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RATxFAT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– </w:t>
            </w:r>
            <w:r>
              <w:rPr>
                <w:rStyle w:val="nfase"/>
                <w:rFonts w:asciiTheme="minorHAnsi" w:hAnsiTheme="minorHAnsi"/>
                <w:sz w:val="18"/>
                <w:szCs w:val="18"/>
                <w:shd w:val="clear" w:color="auto" w:fill="FFFFFF"/>
              </w:rPr>
              <w:t>Fundamentação: art. 22, inciso II, alíneas ‘b’ e ‘c’, da Lei nº 8.212/91.</w:t>
            </w: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 C</w:t>
            </w:r>
            <w:r>
              <w:rPr>
                <w:rFonts w:ascii="Calibri" w:hAnsi="Calibri" w:cs="Arial"/>
                <w:sz w:val="18"/>
                <w:szCs w:val="18"/>
              </w:rPr>
              <w:t>onforme GFIP do mês anterior à data da proposta – Para estimativa, considerado o maior valor possível.</w:t>
            </w:r>
          </w:p>
        </w:tc>
      </w:tr>
      <w:tr w:rsidR="0035251D">
        <w:trPr>
          <w:trHeight w:val="374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SESC OU SESI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1D" w:rsidRDefault="00240C8D"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Art.3º, da lei 8036/90</w:t>
            </w:r>
          </w:p>
        </w:tc>
      </w:tr>
      <w:tr w:rsidR="0035251D">
        <w:trPr>
          <w:trHeight w:val="26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SENAI OU SENAC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1D" w:rsidRDefault="00240C8D"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Decreto 2.318/86</w:t>
            </w:r>
          </w:p>
        </w:tc>
      </w:tr>
      <w:tr w:rsidR="0035251D">
        <w:trPr>
          <w:trHeight w:val="31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SEBRAE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1D" w:rsidRDefault="00240C8D"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Art.8º, Lei 8029/90 e Lei 8154/90</w:t>
            </w:r>
          </w:p>
        </w:tc>
      </w:tr>
      <w:tr w:rsidR="0035251D">
        <w:trPr>
          <w:trHeight w:val="504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INCRA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1D" w:rsidRDefault="00240C8D"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Lei 7787/89 e DL 1146/70</w:t>
            </w:r>
          </w:p>
        </w:tc>
      </w:tr>
      <w:tr w:rsidR="0035251D">
        <w:trPr>
          <w:trHeight w:val="270"/>
          <w:jc w:val="center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FGTS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1D" w:rsidRDefault="00240C8D">
            <w:r>
              <w:rPr>
                <w:rFonts w:ascii="Calibri" w:hAnsi="Calibri" w:cs="Arial"/>
                <w:sz w:val="16"/>
                <w:szCs w:val="16"/>
              </w:rPr>
              <w:t xml:space="preserve">Total da remuneração </w:t>
            </w:r>
            <w:r>
              <w:rPr>
                <w:rFonts w:ascii="Calibri" w:hAnsi="Calibri" w:cs="Arial"/>
                <w:sz w:val="18"/>
                <w:szCs w:val="18"/>
              </w:rPr>
              <w:t>x %</w:t>
            </w:r>
          </w:p>
        </w:tc>
        <w:tc>
          <w:tcPr>
            <w:tcW w:w="33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Art.15, da Lei 8036/90 e Art.7º III, CF</w:t>
            </w:r>
          </w:p>
        </w:tc>
      </w:tr>
      <w:tr w:rsidR="0035251D">
        <w:trPr>
          <w:trHeight w:val="30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5251D" w:rsidRDefault="00240C8D">
      <w:pPr>
        <w:pStyle w:val="textojustificado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Forte"/>
          <w:rFonts w:ascii="Arial" w:hAnsi="Arial" w:cs="Arial"/>
          <w:color w:val="000000"/>
          <w:sz w:val="16"/>
          <w:szCs w:val="16"/>
        </w:rPr>
        <w:t>Nota 1:</w:t>
      </w:r>
      <w:r>
        <w:rPr>
          <w:rFonts w:ascii="Arial" w:hAnsi="Arial" w:cs="Arial"/>
          <w:color w:val="000000"/>
          <w:sz w:val="16"/>
          <w:szCs w:val="16"/>
        </w:rPr>
        <w:t> Os percentuais dos encargos previdenciários, do FGTS e demais contribuições são aqueles estabelecidos pela legislação vigente.</w:t>
      </w:r>
    </w:p>
    <w:p w:rsidR="0035251D" w:rsidRDefault="0035251D">
      <w:pPr>
        <w:pStyle w:val="textojustificado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35251D" w:rsidRDefault="00240C8D">
      <w:pPr>
        <w:pStyle w:val="textojustificado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Forte"/>
          <w:rFonts w:ascii="Arial" w:hAnsi="Arial" w:cs="Arial"/>
          <w:color w:val="000000"/>
          <w:sz w:val="16"/>
          <w:szCs w:val="16"/>
        </w:rPr>
        <w:t>Nota 2:</w:t>
      </w:r>
      <w:r>
        <w:rPr>
          <w:rFonts w:ascii="Arial" w:hAnsi="Arial" w:cs="Arial"/>
          <w:color w:val="000000"/>
          <w:sz w:val="16"/>
          <w:szCs w:val="16"/>
        </w:rPr>
        <w:t> O SAT a depender do grau de risco do serviço irá variar entre 1%, para risco leve, de 2%, para risco médio, e de 3% de risco grave. No caso, consideraremos as alíquotas de 3%, relativa a serviços de pré-impressão.</w:t>
      </w:r>
    </w:p>
    <w:p w:rsidR="0035251D" w:rsidRDefault="0035251D">
      <w:pPr>
        <w:jc w:val="both"/>
        <w:rPr>
          <w:rFonts w:ascii="Calibri" w:hAnsi="Calibri"/>
          <w:b/>
        </w:rPr>
      </w:pPr>
    </w:p>
    <w:p w:rsidR="0035251D" w:rsidRDefault="00240C8D">
      <w:pPr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13" behindDoc="0" locked="0" layoutInCell="1" allowOverlap="1" wp14:anchorId="215635B9">
                <wp:simplePos x="0" y="0"/>
                <wp:positionH relativeFrom="margin">
                  <wp:posOffset>-635</wp:posOffset>
                </wp:positionH>
                <wp:positionV relativeFrom="margin">
                  <wp:posOffset>-4182745</wp:posOffset>
                </wp:positionV>
                <wp:extent cx="1802765" cy="2482215"/>
                <wp:effectExtent l="3175" t="0" r="0" b="0"/>
                <wp:wrapSquare wrapText="bothSides"/>
                <wp:docPr id="5" name="Auto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2160" cy="2481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40C8D" w:rsidRDefault="00240C8D">
                            <w:pPr>
                              <w:pStyle w:val="rtecenter"/>
                              <w:spacing w:beforeAutospacing="0" w:afterAutospacing="0"/>
                              <w:rPr>
                                <w:rFonts w:asciiTheme="minorHAnsi" w:hAnsiTheme="minorHAnsi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 xml:space="preserve">Fórmula dias: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>[(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>365 / 7) x 5 – 9] /12 = </w:t>
                            </w:r>
                            <w:r>
                              <w:rPr>
                                <w:rStyle w:val="Forte"/>
                                <w:rFonts w:asciiTheme="minorHAnsi" w:hAnsiTheme="minorHAnsi"/>
                                <w:iCs/>
                                <w:sz w:val="20"/>
                                <w:szCs w:val="20"/>
                              </w:rPr>
                              <w:t>20,98</w:t>
                            </w:r>
                          </w:p>
                          <w:p w:rsidR="00240C8D" w:rsidRDefault="00240C8D">
                            <w:pPr>
                              <w:pStyle w:val="NormalWeb"/>
                              <w:spacing w:beforeAutospacing="0" w:afterAutospacing="0"/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Style w:val="nfase"/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Onde:</w:t>
                            </w:r>
                          </w:p>
                          <w:p w:rsidR="00240C8D" w:rsidRDefault="00240C8D">
                            <w:pPr>
                              <w:pStyle w:val="rteindent1"/>
                              <w:spacing w:beforeAutospacing="0" w:afterAutospacing="0"/>
                              <w:ind w:left="600"/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365 = número de dias no ano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7 = número de dias na semana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5 = número de dias úteis (segunda a sexta)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9 = número de feriados nacionais em dias úteis (média)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12 = número de meses no ano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5635B9" id="_x0000_s1027" style="position:absolute;left:0;text-align:left;margin-left:-.05pt;margin-top:-329.35pt;width:141.95pt;height:195.45pt;rotation:90;z-index:13;visibility:visible;mso-wrap-style:square;mso-wrap-distance-left:10.8pt;mso-wrap-distance-top:7.2pt;mso-wrap-distance-right:10.8pt;mso-wrap-distance-bottom:7.2pt;mso-position-horizontal:absolute;mso-position-horizontal-relative:margin;mso-position-vertical:absolute;mso-position-vertical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" fillcolor="#d6e3bc [1302]" stroked="f">
                <v:textbox>
                  <w:txbxContent>
                    <w:p w:rsidR="00240C8D" w:rsidRDefault="00240C8D">
                      <w:pPr>
                        <w:pStyle w:val="rtecenter"/>
                        <w:spacing w:beforeAutospacing="0" w:afterAutospacing="0"/>
                        <w:rPr>
                          <w:rFonts w:asciiTheme="minorHAnsi" w:hAnsiTheme="minorHAnsi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 xml:space="preserve">Fórmula dias: </w:t>
                      </w:r>
                      <w:proofErr w:type="gramStart"/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>[(</w:t>
                      </w:r>
                      <w:proofErr w:type="gramEnd"/>
                      <w:r>
                        <w:rPr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>365 / 7) x 5 – 9] /12 = </w:t>
                      </w:r>
                      <w:r>
                        <w:rPr>
                          <w:rStyle w:val="Forte"/>
                          <w:rFonts w:asciiTheme="minorHAnsi" w:hAnsiTheme="minorHAnsi"/>
                          <w:iCs/>
                          <w:sz w:val="20"/>
                          <w:szCs w:val="20"/>
                        </w:rPr>
                        <w:t>20,98</w:t>
                      </w:r>
                    </w:p>
                    <w:p w:rsidR="00240C8D" w:rsidRDefault="00240C8D">
                      <w:pPr>
                        <w:pStyle w:val="NormalWeb"/>
                        <w:spacing w:beforeAutospacing="0" w:afterAutospacing="0"/>
                        <w:rPr>
                          <w:rFonts w:asciiTheme="minorHAnsi" w:hAnsiTheme="minorHAnsi" w:cs="Arial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Style w:val="nfase"/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Onde:</w:t>
                      </w:r>
                    </w:p>
                    <w:p w:rsidR="00240C8D" w:rsidRDefault="00240C8D">
                      <w:pPr>
                        <w:pStyle w:val="rteindent1"/>
                        <w:spacing w:beforeAutospacing="0" w:afterAutospacing="0"/>
                        <w:ind w:left="600"/>
                      </w:pP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365 = número de dias no ano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7 = número de dias na semana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5 = número de dias úteis (segunda a sexta)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9 = número de feriados nacionais em dias úteis (média)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br/>
                        <w:t>12 = número de meses no ano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Style w:val="Forte"/>
          <w:rFonts w:ascii="Arial" w:hAnsi="Arial" w:cs="Arial"/>
          <w:color w:val="000000"/>
          <w:sz w:val="16"/>
          <w:szCs w:val="16"/>
          <w:shd w:val="clear" w:color="auto" w:fill="FFFFFF"/>
        </w:rPr>
        <w:t>Nota 3: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Esses percentuais incidem sobre o Módulo 1, 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Submódulo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2.1.  </w:t>
      </w:r>
    </w:p>
    <w:p w:rsidR="0035251D" w:rsidRDefault="00240C8D">
      <w:pPr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Obs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Incindirá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apenas na linha A do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Submódulo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2.1 pois, na base de cálculo no primeiro ano, consideraremos que, inicialmente, não haverá prorrogação do contrato e segundo a tabela de incidência do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GPS e FGTS não incide sobre indenizações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35251D" w:rsidRDefault="00240C8D">
      <w:pPr>
        <w:jc w:val="both"/>
        <w:rPr>
          <w:rFonts w:ascii="Calibri" w:hAnsi="Calibri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No segundo ano, no caso de prorrogação, utilizar somente o 1/3 constitucional.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240C8D">
      <w:pPr>
        <w:jc w:val="both"/>
        <w:rPr>
          <w:rFonts w:ascii="Calibri" w:hAnsi="Calibri" w:cs="Arial"/>
          <w:lang w:val="pt-PT"/>
        </w:rPr>
      </w:pPr>
      <w:r>
        <w:rPr>
          <w:rFonts w:ascii="Calibri" w:hAnsi="Calibri" w:cs="Arial"/>
          <w:u w:val="single"/>
          <w:lang w:val="pt-PT"/>
        </w:rPr>
        <w:t>OBS</w:t>
      </w:r>
      <w:r>
        <w:rPr>
          <w:rFonts w:ascii="Calibri" w:hAnsi="Calibri" w:cs="Arial"/>
          <w:lang w:val="pt-PT"/>
        </w:rPr>
        <w:t xml:space="preserve">.: Para fins de cálculo do GPS, FGTS e outras contribuições (item 2.2 do quadro resumo do Módulo 2), deverá ser considerado o </w:t>
      </w:r>
      <w:r>
        <w:rPr>
          <w:rFonts w:ascii="Calibri" w:hAnsi="Calibri" w:cs="Arial"/>
          <w:b/>
          <w:lang w:val="pt-PT"/>
        </w:rPr>
        <w:t>total do Submódulo 2.2</w:t>
      </w:r>
      <w:r>
        <w:rPr>
          <w:rFonts w:ascii="Calibri" w:hAnsi="Calibri" w:cs="Arial"/>
          <w:lang w:val="pt-PT"/>
        </w:rPr>
        <w:t xml:space="preserve"> + Incidência do Submódulo 2.2  - Encargos previdenciários (GPS), FGTS e outras contribuições sobre o 13º (décimo terceiro) Salário, Férias e Adicional de Férias (letra C do Submódulo 2.1)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240C8D">
      <w:pPr>
        <w:jc w:val="both"/>
        <w:rPr>
          <w:rFonts w:ascii="Calibri" w:hAnsi="Calibri" w:cs="Arial"/>
          <w:u w:val="single"/>
          <w:lang w:val="pt-PT"/>
        </w:rPr>
      </w:pPr>
      <w:r>
        <w:rPr>
          <w:rFonts w:ascii="Calibri" w:hAnsi="Calibri" w:cs="Arial"/>
          <w:u w:val="single"/>
          <w:lang w:val="pt-PT"/>
        </w:rPr>
        <w:t>Submódulo 2.3 - Benefícios Mensais e Diários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6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1865"/>
        <w:gridCol w:w="4190"/>
      </w:tblGrid>
      <w:tr w:rsidR="0035251D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BENEFÍCIOS MENSAIS E DIÁRIOS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VALOR (R$) </w:t>
            </w:r>
          </w:p>
        </w:tc>
      </w:tr>
      <w:tr w:rsidR="0035251D">
        <w:trPr>
          <w:trHeight w:val="631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Transporte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valor do transporte x nº de passagens por dia x nº de dias trabalhados – (6% x valor salário base)</w:t>
            </w:r>
          </w:p>
        </w:tc>
      </w:tr>
      <w:tr w:rsidR="0035251D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Auxílio Refeição/Alimentação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valor do vale alimentação mensal x nº de dias de trabalho – (</w:t>
            </w:r>
            <w:r>
              <w:rPr>
                <w:rFonts w:ascii="Calibri" w:hAnsi="Calibri" w:cs="Arial"/>
                <w:iCs/>
                <w:sz w:val="18"/>
                <w:szCs w:val="18"/>
              </w:rPr>
              <w:t>Clausula 10ª da CCT</w:t>
            </w:r>
          </w:p>
        </w:tc>
      </w:tr>
      <w:tr w:rsidR="0035251D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Assistência médica e familiar (Seguro de Vida com Assist. Funeral e Familiar)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Cláusula 18ª da CCT = R$ 10,00, descontado o valor R$ 4,00 paga pelo empregado</w:t>
            </w:r>
          </w:p>
        </w:tc>
      </w:tr>
      <w:tr w:rsidR="0035251D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D.1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Outros (Benefício Natalidade) 17,02%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spacing w:line="276" w:lineRule="auto"/>
              <w:jc w:val="both"/>
            </w:pPr>
            <w:r>
              <w:t xml:space="preserve">Taxa de natalidade bruta no estado do Pará 2019 - 17,02% - </w:t>
            </w:r>
            <w:hyperlink r:id="rId9">
              <w:r>
                <w:rPr>
                  <w:rStyle w:val="LinkdaInternet"/>
                </w:rPr>
                <w:t>https://www.ibge.gov.br/apps/populacao/projecao/</w:t>
              </w:r>
            </w:hyperlink>
            <w:r>
              <w:t xml:space="preserve"> Acesso em 14/11/2019. §5º, Cláusula 18ª</w:t>
            </w:r>
          </w:p>
          <w:p w:rsidR="0035251D" w:rsidRDefault="00240C8D">
            <w:pPr>
              <w:spacing w:line="276" w:lineRule="auto"/>
              <w:jc w:val="both"/>
            </w:pPr>
            <w:proofErr w:type="gramStart"/>
            <w:r>
              <w:t>=(</w:t>
            </w:r>
            <w:proofErr w:type="gramEnd"/>
            <w:r>
              <w:t>R$500,00 reais x17,02%)/12 meses</w:t>
            </w:r>
          </w:p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51D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D.2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Outros (Qualificação/formação profissional)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Cláusula 26ª da CCT = R$6,00</w:t>
            </w:r>
          </w:p>
        </w:tc>
      </w:tr>
      <w:tr w:rsidR="0035251D">
        <w:trPr>
          <w:trHeight w:val="283"/>
          <w:jc w:val="center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51D">
        <w:trPr>
          <w:trHeight w:val="283"/>
          <w:jc w:val="center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5251D" w:rsidRDefault="00240C8D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US"/>
        </w:rPr>
        <w:t>Nota 1: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 O valor informado deverá ser o custo real do benefício (descontado o valor eventualmente pago pelo empregado).</w:t>
      </w:r>
    </w:p>
    <w:p w:rsidR="0035251D" w:rsidRDefault="0035251D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5251D" w:rsidRDefault="00240C8D">
      <w:pPr>
        <w:shd w:val="clear" w:color="auto" w:fill="FFFFFF"/>
        <w:textAlignment w:val="baseline"/>
        <w:rPr>
          <w:rFonts w:ascii="Arial" w:hAnsi="Arial" w:cs="Arial"/>
          <w:color w:val="000000"/>
          <w:sz w:val="16"/>
          <w:szCs w:val="16"/>
          <w:lang w:eastAsia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US"/>
        </w:rPr>
        <w:t>Nota 2: </w:t>
      </w:r>
      <w:r>
        <w:rPr>
          <w:rFonts w:ascii="Arial" w:hAnsi="Arial" w:cs="Arial"/>
          <w:color w:val="000000"/>
          <w:sz w:val="16"/>
          <w:szCs w:val="16"/>
          <w:lang w:eastAsia="en-US"/>
        </w:rPr>
        <w:t>Observar a previsão dos benefícios contidos em Acordos, Convenções e Dissídios Coletivos de Trabalho e atentar-se ao disposto no art. 6º da IN 5/2017.</w:t>
      </w:r>
    </w:p>
    <w:p w:rsidR="0035251D" w:rsidRDefault="0035251D">
      <w:pPr>
        <w:jc w:val="both"/>
        <w:rPr>
          <w:rFonts w:ascii="Calibri" w:hAnsi="Calibri" w:cs="Arial"/>
          <w:u w:val="single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A) Transporte</w:t>
      </w:r>
    </w:p>
    <w:p w:rsidR="0035251D" w:rsidRDefault="00240C8D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a.1. Para fins de estimativa, foi considerado o valor referente ao preço da passagem de ônibus intermunicipal em Oriximiná, considerando uma passagem de ida e uma passagem de volta, com o desconto de 6% do empregado</w:t>
      </w:r>
    </w:p>
    <w:p w:rsidR="0035251D" w:rsidRDefault="00240C8D">
      <w:pPr>
        <w:spacing w:line="276" w:lineRule="auto"/>
        <w:rPr>
          <w:rFonts w:asciiTheme="minorHAnsi" w:hAnsiTheme="minorHAnsi"/>
          <w:iCs/>
        </w:rPr>
      </w:pPr>
      <w:r>
        <w:rPr>
          <w:rFonts w:ascii="Calibri" w:hAnsi="Calibri" w:cs="Arial"/>
          <w:b/>
        </w:rPr>
        <w:t>15,21 dias trabalhados no mês</w:t>
      </w:r>
      <w:r>
        <w:rPr>
          <w:rFonts w:ascii="Calibri" w:hAnsi="Calibri" w:cs="Arial"/>
        </w:rPr>
        <w:t xml:space="preserve">, como </w:t>
      </w:r>
      <w:r>
        <w:rPr>
          <w:rFonts w:asciiTheme="minorHAnsi" w:hAnsiTheme="minorHAnsi"/>
          <w:iCs/>
        </w:rPr>
        <w:t xml:space="preserve">demonstrado para </w:t>
      </w:r>
      <w:r>
        <w:rPr>
          <w:rFonts w:asciiTheme="minorHAnsi" w:hAnsiTheme="minorHAnsi"/>
          <w:b/>
          <w:iCs/>
        </w:rPr>
        <w:t>jornada de 12x 36 horas</w:t>
      </w:r>
      <w:r>
        <w:rPr>
          <w:rFonts w:asciiTheme="minorHAnsi" w:hAnsiTheme="minorHAnsi"/>
          <w:iCs/>
        </w:rPr>
        <w:t>: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Fórmula = </w:t>
      </w:r>
      <w:r>
        <w:rPr>
          <w:rFonts w:ascii="Calibri" w:hAnsi="Calibri" w:cs="Arial"/>
          <w:b/>
        </w:rPr>
        <w:t>valor do transporte x nº de passagens por dia x nº de dias trabalhados – (6% x valor salário base)</w:t>
      </w:r>
    </w:p>
    <w:p w:rsidR="0035251D" w:rsidRDefault="00240C8D">
      <w:pPr>
        <w:spacing w:line="276" w:lineRule="auto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  <w:color w:val="FF0000"/>
        </w:rPr>
        <w:t xml:space="preserve">                                              </w:t>
      </w:r>
    </w:p>
    <w:p w:rsidR="0035251D" w:rsidRDefault="0035251D">
      <w:pPr>
        <w:spacing w:line="276" w:lineRule="auto"/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B) Auxílio-alimentação 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Valor referente ao determinado em CCT, cláusula 16ª, no caso R$17,00 (dezessete reais) x nº de dias trabalhados (MMDT), descontado 10% do valor do total do benefício.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=(</w:t>
      </w:r>
      <w:proofErr w:type="gramEnd"/>
      <w:r>
        <w:rPr>
          <w:rFonts w:ascii="Calibri" w:hAnsi="Calibri" w:cs="Arial"/>
        </w:rPr>
        <w:t>(R$17*15,21)-(17*15,21*10%))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C) Assistência médica familiar</w:t>
      </w:r>
    </w:p>
    <w:p w:rsidR="0035251D" w:rsidRDefault="00240C8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Seguro de Vida com Assist. Funeral e Familiar</w:t>
      </w:r>
    </w:p>
    <w:p w:rsidR="0035251D" w:rsidRDefault="00240C8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Cláusula 18ª da CCT = R$ 10,00, descontado o valor R$ 4,00 paga pelo empregado</w:t>
      </w:r>
    </w:p>
    <w:p w:rsidR="0035251D" w:rsidRDefault="0035251D">
      <w:pPr>
        <w:spacing w:line="276" w:lineRule="auto"/>
        <w:jc w:val="both"/>
        <w:rPr>
          <w:rFonts w:ascii="Calibri" w:hAnsi="Calibri" w:cs="Arial"/>
          <w:b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</w:rPr>
        <w:t xml:space="preserve">D.1) </w:t>
      </w:r>
      <w:r>
        <w:rPr>
          <w:rFonts w:ascii="Calibri" w:hAnsi="Calibri" w:cs="Arial"/>
          <w:sz w:val="18"/>
          <w:szCs w:val="18"/>
        </w:rPr>
        <w:t>Benefício Natalidade</w:t>
      </w:r>
    </w:p>
    <w:p w:rsidR="0035251D" w:rsidRDefault="00240C8D">
      <w:pPr>
        <w:spacing w:line="276" w:lineRule="auto"/>
        <w:jc w:val="both"/>
      </w:pPr>
      <w:r>
        <w:t>§5º, Cláusula 18ª da CCT</w:t>
      </w:r>
    </w:p>
    <w:p w:rsidR="0035251D" w:rsidRDefault="00240C8D">
      <w:pPr>
        <w:spacing w:line="276" w:lineRule="auto"/>
        <w:jc w:val="both"/>
      </w:pPr>
      <w:r>
        <w:t xml:space="preserve">Taxa de natalidade bruta no estado do Pará 2019: 17,02% - Fonte: </w:t>
      </w:r>
      <w:hyperlink r:id="rId10">
        <w:r>
          <w:rPr>
            <w:rStyle w:val="LinkdaInternet"/>
            <w:color w:val="auto"/>
          </w:rPr>
          <w:t>https://www.ibge.gov.br/apps/populacao/projecao/</w:t>
        </w:r>
      </w:hyperlink>
      <w:r>
        <w:t xml:space="preserve"> Acesso em 14/11/2019. </w:t>
      </w:r>
    </w:p>
    <w:p w:rsidR="0035251D" w:rsidRDefault="00240C8D">
      <w:pPr>
        <w:spacing w:line="276" w:lineRule="auto"/>
        <w:jc w:val="both"/>
      </w:pPr>
      <w:proofErr w:type="gramStart"/>
      <w:r>
        <w:t>=(</w:t>
      </w:r>
      <w:proofErr w:type="gramEnd"/>
      <w:r>
        <w:t>R$500,00 reais x17,02%)/12 meses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D.2) Programa de Qualificação Profissional</w:t>
      </w: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Cláusula 26ª da CCT – R$6,00 pela empresa, por empregado 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p w:rsidR="0035251D" w:rsidRDefault="0035251D">
      <w:pPr>
        <w:jc w:val="both"/>
        <w:rPr>
          <w:rFonts w:ascii="Calibri" w:hAnsi="Calibri" w:cs="Arial"/>
          <w:b/>
          <w:u w:val="single"/>
        </w:rPr>
      </w:pPr>
    </w:p>
    <w:p w:rsidR="0035251D" w:rsidRDefault="00240C8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Módulo 3 – Provisão para Rescisão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5"/>
        <w:gridCol w:w="3119"/>
        <w:gridCol w:w="1843"/>
      </w:tblGrid>
      <w:tr w:rsidR="0035251D">
        <w:trPr>
          <w:trHeight w:val="51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PROVISÃO PARA RESCISÃO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35251D" w:rsidRPr="00240C8D">
        <w:trPr>
          <w:trHeight w:val="5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Aviso prévio indenizado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[(Remuneração + 13º + Férias + 1/3 constitucional) / meses do ano] x indicador de rotatividade de dispensa sem justa causa =</w:t>
            </w: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 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</w:t>
            </w:r>
          </w:p>
        </w:tc>
      </w:tr>
      <w:tr w:rsidR="0035251D">
        <w:trPr>
          <w:trHeight w:val="55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Incidência do FGTS sobre o Aviso prévio indenizado.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[(Remuneração + 13º) / 12)] x 5% x 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Súmula nº 305 do TST</w:t>
            </w:r>
          </w:p>
        </w:tc>
      </w:tr>
      <w:tr w:rsidR="0035251D">
        <w:trPr>
          <w:trHeight w:val="55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Multa do FGTS e Contribuição Social sobre Aviso Prévio Indenizado - 5%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Zerado. Consideramos a tabela de percentual da Conta Vinculada, Anexo XII, devido a ser proposto percentual único para a multa.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Independente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da quantidade de API e APT e da rotatividade do contrato, a multa, por ser linear, será calculada considerando 100% dos empregados.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Leis </w:t>
            </w:r>
            <w:proofErr w:type="spellStart"/>
            <w:proofErr w:type="gramStart"/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n.ºs</w:t>
            </w:r>
            <w:proofErr w:type="spellEnd"/>
            <w:proofErr w:type="gramEnd"/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 xml:space="preserve"> 8.036/90 e</w:t>
            </w:r>
          </w:p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  <w:t>9.491/97</w:t>
            </w:r>
          </w:p>
        </w:tc>
      </w:tr>
      <w:tr w:rsidR="0035251D" w:rsidRPr="00240C8D">
        <w:trPr>
          <w:trHeight w:val="41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Aviso Prévio Trabalhado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[(Remuneração + benefícios mensais e diários não dedutíveis, ex.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beneficio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social familiar) / dias do mês) / meses do ano] x 7 dias de redução da jornada.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CLT.</w:t>
            </w:r>
          </w:p>
        </w:tc>
      </w:tr>
      <w:tr w:rsidR="0035251D">
        <w:trPr>
          <w:trHeight w:val="56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Incidência dos encargos do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Submódulo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2.2 sobre Aviso Prévio Trabalhado.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[(Remuneração / dias do mês) / meses do ano] x 7 dias de redução da jornada x 8%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</w:tr>
      <w:tr w:rsidR="0035251D" w:rsidRPr="00240C8D">
        <w:trPr>
          <w:trHeight w:val="55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Multa FGTS e Contribuição Social sobre o Aviso Prévio Trabalhado – 100%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Consideramos a tabela de percentual da Conta Vinculada, Anexo XII, devido a ser proposto percentual único para a multa.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Independente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da quantidade de API e APT e da rotatividade do contrato, a multa, por ser linear, será calculada considerando 100% dos empregados.</w:t>
            </w:r>
          </w:p>
          <w:p w:rsidR="0035251D" w:rsidRDefault="0035251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Remuneração x </w:t>
            </w: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5%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(Anexo XII, IN 05/2017)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Art. 7º, XXI, CF/88,</w:t>
            </w:r>
          </w:p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>477, 487 e 491 CLT.</w:t>
            </w:r>
          </w:p>
        </w:tc>
      </w:tr>
      <w:tr w:rsidR="0035251D">
        <w:trPr>
          <w:trHeight w:val="41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Theme="minorHAnsi" w:eastAsiaTheme="minorHAnsi" w:hAnsiTheme="minorHAnsi" w:cs="Arial"/>
                <w:sz w:val="18"/>
                <w:szCs w:val="18"/>
                <w:lang w:eastAsia="en-US"/>
              </w:rPr>
            </w:pPr>
          </w:p>
        </w:tc>
      </w:tr>
    </w:tbl>
    <w:p w:rsidR="0035251D" w:rsidRDefault="00240C8D">
      <w:pPr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OBSERVAÇÕES: Nota Técnica nº 652/2017 - MP</w:t>
      </w:r>
    </w:p>
    <w:p w:rsidR="0035251D" w:rsidRDefault="0035251D">
      <w:pPr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35251D">
      <w:pPr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240C8D">
      <w:pPr>
        <w:jc w:val="both"/>
        <w:rPr>
          <w:rFonts w:ascii="Calibri" w:hAnsi="Calibri" w:cs="Arial"/>
          <w:b/>
          <w:color w:val="FF0000"/>
          <w:u w:val="single"/>
        </w:rPr>
      </w:pPr>
      <w:r>
        <w:rPr>
          <w:rFonts w:ascii="Calibri" w:hAnsi="Calibri" w:cs="Arial"/>
          <w:b/>
          <w:u w:val="single"/>
        </w:rPr>
        <w:t xml:space="preserve">Módulo 4 – Custo de Reposição de Profissional Ausente </w:t>
      </w:r>
    </w:p>
    <w:p w:rsidR="0035251D" w:rsidRDefault="0035251D">
      <w:pPr>
        <w:rPr>
          <w:rFonts w:ascii="Calibri" w:hAnsi="Calibri" w:cs="Arial"/>
        </w:rPr>
      </w:pPr>
    </w:p>
    <w:p w:rsidR="0035251D" w:rsidRDefault="00240C8D">
      <w:pPr>
        <w:jc w:val="both"/>
        <w:rPr>
          <w:rFonts w:ascii="Calibri" w:hAnsi="Calibri" w:cs="Arial"/>
          <w:u w:val="single"/>
          <w:lang w:val="pt-PT"/>
        </w:rPr>
      </w:pPr>
      <w:r>
        <w:rPr>
          <w:rFonts w:ascii="Calibri" w:hAnsi="Calibri" w:cs="Arial"/>
          <w:u w:val="single"/>
          <w:lang w:val="pt-PT"/>
        </w:rPr>
        <w:t>Submódulo 4.1 – Ausências Legais</w:t>
      </w:r>
    </w:p>
    <w:p w:rsidR="0035251D" w:rsidRDefault="0035251D">
      <w:pPr>
        <w:rPr>
          <w:rFonts w:ascii="Calibri" w:hAnsi="Calibri" w:cs="Arial"/>
          <w:lang w:val="pt-PT"/>
        </w:rPr>
      </w:pPr>
    </w:p>
    <w:tbl>
      <w:tblPr>
        <w:tblW w:w="103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5"/>
        <w:gridCol w:w="3783"/>
        <w:gridCol w:w="3868"/>
      </w:tblGrid>
      <w:tr w:rsidR="0035251D">
        <w:trPr>
          <w:trHeight w:val="510"/>
          <w:tblHeader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Ausências Legais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FUNDAMENTO</w:t>
            </w:r>
          </w:p>
        </w:tc>
      </w:tr>
      <w:tr w:rsidR="0035251D">
        <w:trPr>
          <w:trHeight w:val="4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Férias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Esse custo será zerado no primeiro ano.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  <w:p w:rsidR="0035251D" w:rsidRDefault="0035251D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5251D">
        <w:trPr>
          <w:trHeight w:val="4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Ausências Legais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AL=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nDR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(AL) x CDR / 12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Art. 473 da CLT / Acórdão TCU 1.753/2008: </w:t>
            </w:r>
            <w:proofErr w:type="gramStart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Calculado</w:t>
            </w:r>
            <w:proofErr w:type="gramEnd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segundo estimativa do MPOG (manual de preenchimento, </w:t>
            </w:r>
            <w:proofErr w:type="spellStart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pg</w:t>
            </w:r>
            <w:proofErr w:type="spellEnd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 xml:space="preserve"> 54).</w:t>
            </w:r>
          </w:p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nDR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>(AL)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nº médio anual de dias de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ausencias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legais por ano =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2,96</w:t>
            </w:r>
          </w:p>
        </w:tc>
      </w:tr>
      <w:tr w:rsidR="0035251D">
        <w:trPr>
          <w:trHeight w:val="5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Substituto na cobertura de </w:t>
            </w:r>
            <w:proofErr w:type="spellStart"/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Licença-Paternidade</w:t>
            </w:r>
            <w:proofErr w:type="spellEnd"/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LP=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n-US"/>
              </w:rPr>
              <w:t>nDR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n-US"/>
              </w:rPr>
              <w:t>(LP) x % LP x CDR/12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Art. 7º, XIX, CF/88 e</w:t>
            </w:r>
          </w:p>
          <w:p w:rsidR="0035251D" w:rsidRDefault="00240C8D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10, § 1º, da CLT.</w:t>
            </w:r>
          </w:p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Manual de Preenchimento de Planilhas do MPOG 2011 (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pg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27):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1,5%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dos trabalhadores tem filhos. Sendo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5 dias (nº de dias corridos de licença).</w:t>
            </w:r>
          </w:p>
        </w:tc>
      </w:tr>
      <w:tr w:rsidR="0035251D">
        <w:trPr>
          <w:trHeight w:val="4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Ausência por acidente de trabalho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AT=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n-US"/>
              </w:rPr>
              <w:t>nDR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n-US"/>
              </w:rPr>
              <w:t>(AT) x % AT x CDR/12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Arts</w:t>
            </w:r>
            <w:proofErr w:type="spellEnd"/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. 19 a 23 c/c § 2º, Art. 43 da Lei 8.213/91.</w:t>
            </w:r>
          </w:p>
          <w:p w:rsidR="0035251D" w:rsidRDefault="00240C8D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Manual de Preenchimento de Planilhas do MPOG 2011 (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pg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28):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0,78%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dos empregados se acidentam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; </w:t>
            </w:r>
          </w:p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Sendo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15 dias (nº de dias corridos de licença pagos pelo empregador).</w:t>
            </w:r>
          </w:p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51D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Substituto na cobertura de Afastamento Maternidade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pStyle w:val="PargrafodaLista"/>
              <w:ind w:left="-70"/>
              <w:jc w:val="both"/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  <w:t xml:space="preserve">(*) </w:t>
            </w:r>
            <w:r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AMT: FPAM + (BMDND x 3,95 </w:t>
            </w:r>
            <w:proofErr w:type="gramStart"/>
            <w:r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>x  %</w:t>
            </w:r>
            <w:proofErr w:type="gramEnd"/>
            <w:r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>a.a</w:t>
            </w:r>
            <w:proofErr w:type="spellEnd"/>
            <w:r>
              <w:rPr>
                <w:rFonts w:asciiTheme="minorHAnsi" w:eastAsiaTheme="minorHAnsi" w:hAnsiTheme="minorHAnsi" w:cs="Arial"/>
                <w:sz w:val="16"/>
                <w:szCs w:val="16"/>
                <w:lang w:val="en-US" w:eastAsia="en-US"/>
              </w:rPr>
              <w:t xml:space="preserve"> AM) : 12 + IAM</w:t>
            </w:r>
          </w:p>
          <w:p w:rsidR="0035251D" w:rsidRDefault="0035251D">
            <w:pPr>
              <w:jc w:val="center"/>
              <w:rPr>
                <w:rFonts w:asciiTheme="minorHAnsi" w:eastAsiaTheme="minorHAnsi" w:hAnsiTheme="minorHAnsi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Style w:val="nfase"/>
                <w:rFonts w:asciiTheme="minorHAnsi" w:hAnsiTheme="minorHAnsi"/>
                <w:i w:val="0"/>
                <w:sz w:val="18"/>
                <w:szCs w:val="18"/>
                <w:highlight w:val="white"/>
              </w:rPr>
            </w:pPr>
            <w:r>
              <w:rPr>
                <w:rStyle w:val="nfase"/>
                <w:rFonts w:asciiTheme="minorHAnsi" w:hAnsiTheme="minorHAnsi"/>
                <w:i w:val="0"/>
                <w:sz w:val="18"/>
                <w:szCs w:val="18"/>
                <w:shd w:val="clear" w:color="auto" w:fill="FFFFFF"/>
              </w:rPr>
              <w:t>Art. 6º e 201 da CF, art. 392 da CLT.</w:t>
            </w:r>
          </w:p>
          <w:p w:rsidR="0035251D" w:rsidRDefault="00240C8D">
            <w:r>
              <w:rPr>
                <w:rFonts w:ascii="Calibri" w:hAnsi="Calibri" w:cs="Arial"/>
                <w:b/>
                <w:sz w:val="18"/>
                <w:szCs w:val="18"/>
              </w:rPr>
              <w:t>Considerando os dados do IBGE 2018, a taxa de fecundidade no estado do Pará é de 1,8% (</w:t>
            </w:r>
            <w:hyperlink r:id="rId11">
              <w:r>
                <w:rPr>
                  <w:rStyle w:val="LinkdaInternet"/>
                </w:rPr>
                <w:t>https://agenciadenoticias.ibge.gov.br/agencia-sala-de-imprensa/2013-agencia-de-noticias/releases/21837-projecao-da-populacao-2018-numero-de-habitantes-do-pais-deve-parar-de-crescer-em-2047</w:t>
              </w:r>
            </w:hyperlink>
            <w:r>
              <w:t>. Acesso em 14/11/19)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; </w:t>
            </w:r>
          </w:p>
          <w:p w:rsidR="0035251D" w:rsidRDefault="00240C8D">
            <w:pPr>
              <w:rPr>
                <w:rFonts w:asciiTheme="minorHAnsi" w:eastAsiaTheme="minorHAnsi" w:hAnsiTheme="minorHAnsi" w:cs="Arial"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Considerando dados de contratos anteriores com tipo de serviço assemelhado, temos que aproximadamente 95% de mulheres do número total de trabalhadores. Sendo assim, a percentagem de afastamento maternidade é de 9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5% x 1,8%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=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1,71%</w:t>
            </w:r>
          </w:p>
        </w:tc>
      </w:tr>
      <w:tr w:rsidR="0035251D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Substituto na cobertura de Outras ausências (especificar)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-</w:t>
            </w:r>
          </w:p>
        </w:tc>
      </w:tr>
      <w:tr w:rsidR="0035251D">
        <w:trPr>
          <w:trHeight w:val="4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</w:pPr>
          </w:p>
        </w:tc>
      </w:tr>
    </w:tbl>
    <w:p w:rsidR="0035251D" w:rsidRDefault="00240C8D">
      <w:pPr>
        <w:ind w:left="426"/>
        <w:jc w:val="both"/>
        <w:rPr>
          <w:rFonts w:asciiTheme="minorHAnsi" w:hAnsiTheme="minorHAnsi" w:cs="Arial"/>
          <w:color w:val="000000"/>
          <w:sz w:val="16"/>
          <w:szCs w:val="16"/>
          <w:highlight w:val="white"/>
        </w:rPr>
      </w:pPr>
      <w:r>
        <w:rPr>
          <w:rStyle w:val="Forte"/>
          <w:rFonts w:asciiTheme="minorHAnsi" w:hAnsiTheme="minorHAnsi" w:cs="Arial"/>
          <w:color w:val="000000"/>
          <w:sz w:val="16"/>
          <w:szCs w:val="16"/>
          <w:shd w:val="clear" w:color="auto" w:fill="FFFFFF"/>
        </w:rPr>
        <w:t>Nota 1: </w:t>
      </w:r>
      <w:r>
        <w:rPr>
          <w:rFonts w:asciiTheme="minorHAnsi" w:hAnsiTheme="minorHAnsi" w:cs="Arial"/>
          <w:color w:val="000000"/>
          <w:sz w:val="16"/>
          <w:szCs w:val="16"/>
          <w:shd w:val="clear" w:color="auto" w:fill="FFFFFF"/>
        </w:rPr>
        <w:t>Os itens que contemplam o módulo 4 se referem ao custo dos dias trabalhados pelo repositor/substituto, quando o empregado alocado na prestação de serviço estiver ausente, conforme as previsões estabelecidas na legislação.</w:t>
      </w:r>
    </w:p>
    <w:p w:rsidR="0035251D" w:rsidRDefault="0035251D">
      <w:pPr>
        <w:ind w:left="42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240C8D">
      <w:pPr>
        <w:ind w:left="426"/>
        <w:jc w:val="both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  <w:r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  <w:t>OBSERVAÇÕES:</w:t>
      </w:r>
    </w:p>
    <w:p w:rsidR="0035251D" w:rsidRDefault="0035251D">
      <w:pPr>
        <w:ind w:left="426"/>
        <w:jc w:val="both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35251D" w:rsidRDefault="00240C8D">
      <w:pPr>
        <w:pStyle w:val="PargrafodaLista"/>
        <w:numPr>
          <w:ilvl w:val="0"/>
          <w:numId w:val="2"/>
        </w:numPr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Para o cálculo do custo de reposição do profissional ausente deve-se em primeiro lugar determinar o custo diário daquele que vai fazer a reposição – CDR, que é obtido:</w:t>
      </w:r>
    </w:p>
    <w:p w:rsidR="0035251D" w:rsidRDefault="0035251D">
      <w:pPr>
        <w:pStyle w:val="PargrafodaLista"/>
        <w:ind w:left="786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240C8D">
      <w:pPr>
        <w:pStyle w:val="PargrafodaLista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             Custo mensal do repositor </w:t>
      </w:r>
      <w:r>
        <w:rPr>
          <w:rFonts w:asciiTheme="minorHAnsi" w:eastAsiaTheme="minorHAnsi" w:hAnsiTheme="minorHAnsi" w:cs="Arial"/>
          <w:sz w:val="10"/>
          <w:szCs w:val="10"/>
          <w:lang w:eastAsia="en-US"/>
        </w:rPr>
        <w:t>(</w:t>
      </w:r>
      <w:proofErr w:type="spell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mód</w:t>
      </w:r>
      <w:proofErr w:type="spell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. 1 + </w:t>
      </w:r>
      <w:proofErr w:type="spell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mód</w:t>
      </w:r>
      <w:proofErr w:type="spell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. 2 </w:t>
      </w:r>
      <w:proofErr w:type="gram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+</w:t>
      </w:r>
      <w:proofErr w:type="gram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 mod. 3 </w:t>
      </w:r>
      <w:proofErr w:type="gram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+</w:t>
      </w:r>
      <w:proofErr w:type="gram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 maternidade + </w:t>
      </w:r>
      <w:proofErr w:type="spell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mód</w:t>
      </w:r>
      <w:proofErr w:type="spell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. 5 – (transp. – </w:t>
      </w:r>
      <w:proofErr w:type="spell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aliment</w:t>
      </w:r>
      <w:proofErr w:type="spell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. – </w:t>
      </w:r>
      <w:proofErr w:type="spellStart"/>
      <w:proofErr w:type="gram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equip</w:t>
      </w:r>
      <w:proofErr w:type="spellEnd"/>
      <w:proofErr w:type="gramEnd"/>
      <w:r>
        <w:rPr>
          <w:rFonts w:asciiTheme="minorHAnsi" w:eastAsiaTheme="minorHAnsi" w:hAnsiTheme="minorHAnsi" w:cs="Arial"/>
          <w:sz w:val="10"/>
          <w:szCs w:val="10"/>
          <w:lang w:eastAsia="en-US"/>
        </w:rPr>
        <w:t xml:space="preserve">.  – </w:t>
      </w:r>
      <w:proofErr w:type="gramStart"/>
      <w:r>
        <w:rPr>
          <w:rFonts w:asciiTheme="minorHAnsi" w:eastAsiaTheme="minorHAnsi" w:hAnsiTheme="minorHAnsi" w:cs="Arial"/>
          <w:sz w:val="10"/>
          <w:szCs w:val="10"/>
          <w:lang w:eastAsia="en-US"/>
        </w:rPr>
        <w:t>materiais</w:t>
      </w:r>
      <w:proofErr w:type="gramEnd"/>
      <w:r>
        <w:rPr>
          <w:rFonts w:asciiTheme="minorHAnsi" w:eastAsiaTheme="minorHAnsi" w:hAnsiTheme="minorHAnsi" w:cs="Arial"/>
          <w:sz w:val="10"/>
          <w:szCs w:val="10"/>
          <w:lang w:eastAsia="en-US"/>
        </w:rPr>
        <w:t>)</w:t>
      </w:r>
    </w:p>
    <w:p w:rsidR="0035251D" w:rsidRDefault="00240C8D">
      <w:r>
        <w:rPr>
          <w:rFonts w:asciiTheme="minorHAnsi" w:eastAsiaTheme="minorHAnsi" w:hAnsiTheme="minorHAnsi" w:cs="Arial"/>
          <w:b/>
          <w:sz w:val="16"/>
          <w:szCs w:val="16"/>
          <w:lang w:eastAsia="en-US"/>
        </w:rPr>
        <w:t xml:space="preserve">                                               CDR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=                                                 _____________________________________________</w:t>
      </w:r>
    </w:p>
    <w:p w:rsidR="0035251D" w:rsidRDefault="00240C8D">
      <w:pPr>
        <w:pStyle w:val="PargrafodaLista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                                 Dias do mês (30)</w:t>
      </w:r>
    </w:p>
    <w:p w:rsidR="0035251D" w:rsidRDefault="0035251D">
      <w:pPr>
        <w:pStyle w:val="PargrafodaLista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240C8D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No cálculo do custo diário de reposição de empregados ausentes, deve-se excluir os custos referentes às verbas que já foram consideradas na composição da planilha e que não deverão ser incluídas no custo do profissional vinculado ao contrato, tais como materiais, equipamentos, vale transporte, auxílio refeição, etc.</w:t>
      </w:r>
    </w:p>
    <w:p w:rsidR="0035251D" w:rsidRDefault="0035251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240C8D">
      <w:pPr>
        <w:pStyle w:val="PargrafodaLista"/>
        <w:numPr>
          <w:ilvl w:val="0"/>
          <w:numId w:val="2"/>
        </w:numPr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Deve-se considerar que o afastamento maternidade (4.1 – E) também é componente do custo do repositor. Embora a planilha se refira à própria licença maternidade, esta é paga pela Previdência Social e não pelo empregador, contudo, existem encargos correspondentes ao período do afastamento não cobertos pela previdência, tais como: férias proporcionais, encargos previdenciários, </w:t>
      </w:r>
      <w:proofErr w:type="gramStart"/>
      <w:r>
        <w:rPr>
          <w:rFonts w:asciiTheme="minorHAnsi" w:eastAsiaTheme="minorHAnsi" w:hAnsiTheme="minorHAnsi" w:cs="Arial"/>
          <w:sz w:val="16"/>
          <w:szCs w:val="16"/>
          <w:lang w:eastAsia="en-US"/>
        </w:rPr>
        <w:t>FGTS, e outros</w:t>
      </w:r>
      <w:proofErr w:type="gramEnd"/>
      <w:r>
        <w:rPr>
          <w:rFonts w:asciiTheme="minorHAnsi" w:eastAsiaTheme="minorHAnsi" w:hAnsiTheme="minorHAnsi" w:cs="Arial"/>
          <w:sz w:val="16"/>
          <w:szCs w:val="16"/>
          <w:lang w:eastAsia="en-US"/>
        </w:rPr>
        <w:t>.</w:t>
      </w:r>
    </w:p>
    <w:p w:rsidR="0035251D" w:rsidRDefault="0035251D">
      <w:pPr>
        <w:pStyle w:val="PargrafodaLista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35251D" w:rsidRDefault="00240C8D">
      <w:pPr>
        <w:pStyle w:val="PargrafodaLista"/>
        <w:ind w:left="786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  <w:r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  <w:t xml:space="preserve">CÁLCULO DO </w:t>
      </w:r>
      <w:r>
        <w:rPr>
          <w:rFonts w:asciiTheme="minorHAnsi" w:hAnsiTheme="minorHAnsi" w:cs="Arial"/>
          <w:b/>
          <w:color w:val="FF0000"/>
          <w:sz w:val="18"/>
          <w:szCs w:val="18"/>
          <w:shd w:val="clear" w:color="auto" w:fill="FFFFFF"/>
        </w:rPr>
        <w:t>SUBSTITUTO NA COBERTURA DE AFASTAMENTO MATERNIDADE</w:t>
      </w:r>
      <w:r>
        <w:rPr>
          <w:rFonts w:asciiTheme="minorHAnsi" w:hAnsiTheme="minorHAnsi" w:cs="Arial"/>
          <w:color w:val="FF0000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(*)</w:t>
      </w:r>
    </w:p>
    <w:p w:rsidR="0035251D" w:rsidRDefault="0035251D">
      <w:pPr>
        <w:pStyle w:val="PargrafodaLista"/>
        <w:ind w:left="786"/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</w:pPr>
    </w:p>
    <w:p w:rsidR="0035251D" w:rsidRDefault="00240C8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val="en-US" w:eastAsia="en-US"/>
        </w:rPr>
      </w:pPr>
      <w:r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AMT: FPAM + (BMDND x 3,95 </w:t>
      </w:r>
      <w:proofErr w:type="gramStart"/>
      <w:r>
        <w:rPr>
          <w:rFonts w:asciiTheme="minorHAnsi" w:eastAsiaTheme="minorHAnsi" w:hAnsiTheme="minorHAnsi" w:cs="Arial"/>
          <w:sz w:val="16"/>
          <w:szCs w:val="16"/>
          <w:lang w:val="en-US" w:eastAsia="en-US"/>
        </w:rPr>
        <w:t>x  %</w:t>
      </w:r>
      <w:proofErr w:type="gramEnd"/>
      <w:r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="Arial"/>
          <w:sz w:val="16"/>
          <w:szCs w:val="16"/>
          <w:lang w:val="en-US" w:eastAsia="en-US"/>
        </w:rPr>
        <w:t>a.a</w:t>
      </w:r>
      <w:proofErr w:type="spellEnd"/>
      <w:r>
        <w:rPr>
          <w:rFonts w:asciiTheme="minorHAnsi" w:eastAsiaTheme="minorHAnsi" w:hAnsiTheme="minorHAnsi" w:cs="Arial"/>
          <w:sz w:val="16"/>
          <w:szCs w:val="16"/>
          <w:lang w:val="en-US" w:eastAsia="en-US"/>
        </w:rPr>
        <w:t xml:space="preserve"> AM) : 12 + IAM</w:t>
      </w:r>
    </w:p>
    <w:p w:rsidR="0035251D" w:rsidRDefault="0035251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val="en-US" w:eastAsia="en-US"/>
        </w:rPr>
      </w:pPr>
    </w:p>
    <w:p w:rsidR="0035251D" w:rsidRDefault="00240C8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FPAM (</w:t>
      </w:r>
      <w:r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Ferias proporcionais sobre o afastamento maternidade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) = </w:t>
      </w:r>
      <w:proofErr w:type="gramStart"/>
      <w:r>
        <w:rPr>
          <w:rFonts w:asciiTheme="minorHAnsi" w:eastAsiaTheme="minorHAnsi" w:hAnsiTheme="minorHAnsi" w:cs="Arial"/>
          <w:sz w:val="16"/>
          <w:szCs w:val="16"/>
          <w:lang w:eastAsia="en-US"/>
        </w:rPr>
        <w:t>[(</w:t>
      </w:r>
      <w:proofErr w:type="gramEnd"/>
      <w:r>
        <w:rPr>
          <w:rFonts w:asciiTheme="minorHAnsi" w:eastAsiaTheme="minorHAnsi" w:hAnsiTheme="minorHAnsi" w:cs="Arial"/>
          <w:sz w:val="16"/>
          <w:szCs w:val="16"/>
          <w:lang w:eastAsia="en-US"/>
        </w:rPr>
        <w:t>F + AF) x 3,95/12)]</w:t>
      </w:r>
    </w:p>
    <w:p w:rsidR="0035251D" w:rsidRDefault="00240C8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Theme="minorHAnsi" w:eastAsiaTheme="minorHAnsi" w:hAnsiTheme="minorHAnsi" w:cs="Arial"/>
          <w:sz w:val="16"/>
          <w:szCs w:val="16"/>
          <w:lang w:eastAsia="en-US"/>
        </w:rPr>
        <w:t>IAM (</w:t>
      </w:r>
      <w:r>
        <w:rPr>
          <w:rFonts w:asciiTheme="minorHAnsi" w:eastAsiaTheme="minorHAnsi" w:hAnsiTheme="minorHAnsi" w:cs="Arial"/>
          <w:i/>
          <w:sz w:val="16"/>
          <w:szCs w:val="16"/>
          <w:lang w:eastAsia="en-US"/>
        </w:rPr>
        <w:t xml:space="preserve">Incidência do </w:t>
      </w:r>
      <w:proofErr w:type="spellStart"/>
      <w:r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submódulo</w:t>
      </w:r>
      <w:proofErr w:type="spellEnd"/>
      <w:r>
        <w:rPr>
          <w:rFonts w:asciiTheme="minorHAnsi" w:eastAsiaTheme="minorHAnsi" w:hAnsiTheme="minorHAnsi" w:cs="Arial"/>
          <w:i/>
          <w:sz w:val="16"/>
          <w:szCs w:val="16"/>
          <w:lang w:eastAsia="en-US"/>
        </w:rPr>
        <w:t xml:space="preserve"> 2.2 sobre o afastamento maternidade</w:t>
      </w:r>
      <w:r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) = </w:t>
      </w:r>
      <w:proofErr w:type="gramStart"/>
      <w:r>
        <w:rPr>
          <w:rFonts w:asciiTheme="minorHAnsi" w:eastAsiaTheme="minorHAnsi" w:hAnsiTheme="minorHAnsi" w:cs="Arial"/>
          <w:sz w:val="16"/>
          <w:szCs w:val="16"/>
          <w:lang w:eastAsia="en-US"/>
        </w:rPr>
        <w:t>[(</w:t>
      </w:r>
      <w:proofErr w:type="gramEnd"/>
      <w:r>
        <w:rPr>
          <w:rFonts w:asciiTheme="minorHAnsi" w:eastAsiaTheme="minorHAnsi" w:hAnsiTheme="minorHAnsi" w:cs="Arial"/>
          <w:sz w:val="16"/>
          <w:szCs w:val="16"/>
          <w:lang w:eastAsia="en-US"/>
        </w:rPr>
        <w:t>R + 13º) x %TE (alíquota encargos) x 3,95)] x %AM : 12</w:t>
      </w:r>
    </w:p>
    <w:p w:rsidR="0035251D" w:rsidRDefault="00240C8D">
      <w:pPr>
        <w:pStyle w:val="PargrafodaLista"/>
        <w:ind w:left="786"/>
        <w:rPr>
          <w:rFonts w:asciiTheme="minorHAnsi" w:eastAsiaTheme="minorHAnsi" w:hAnsiTheme="minorHAnsi" w:cs="Arial"/>
          <w:sz w:val="16"/>
          <w:szCs w:val="16"/>
          <w:lang w:eastAsia="en-US"/>
        </w:rPr>
      </w:pPr>
      <w:r>
        <w:rPr>
          <w:rFonts w:ascii="Calibri" w:eastAsiaTheme="minorHAnsi" w:hAnsi="Calibri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57F0AA40">
                <wp:simplePos x="0" y="0"/>
                <wp:positionH relativeFrom="column">
                  <wp:posOffset>1058545</wp:posOffset>
                </wp:positionH>
                <wp:positionV relativeFrom="paragraph">
                  <wp:posOffset>58420</wp:posOffset>
                </wp:positionV>
                <wp:extent cx="3479800" cy="481330"/>
                <wp:effectExtent l="0" t="0" r="26035" b="14605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040" cy="480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240C8D" w:rsidRDefault="00240C8D">
                            <w:pPr>
                              <w:pStyle w:val="Contedodoquadro"/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Dias de licença a maternidade:</w:t>
                            </w:r>
                          </w:p>
                          <w:p w:rsidR="00240C8D" w:rsidRDefault="00240C8D">
                            <w:pPr>
                              <w:pStyle w:val="Contedodoquadro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 xml:space="preserve">365 / 12 =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>30,4167 média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 xml:space="preserve"> de dias por mês</w:t>
                            </w:r>
                          </w:p>
                          <w:p w:rsidR="00240C8D" w:rsidRDefault="00240C8D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>120 / 30,4167 = 3,95 meses de licença maternidade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0AA40" id="Caixa de texto 6" o:spid="_x0000_s1028" style="position:absolute;left:0;text-align:left;margin-left:83.35pt;margin-top:4.6pt;width:274pt;height:37.9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" fillcolor="#ddd8c2 [2894]" strokeweight=".18mm">
                <v:stroke joinstyle="round"/>
                <v:textbox>
                  <w:txbxContent>
                    <w:p w:rsidR="00240C8D" w:rsidRDefault="00240C8D">
                      <w:pPr>
                        <w:pStyle w:val="Contedodoquadro"/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>Dias de licença a maternidade:</w:t>
                      </w:r>
                    </w:p>
                    <w:p w:rsidR="00240C8D" w:rsidRDefault="00240C8D">
                      <w:pPr>
                        <w:pStyle w:val="Contedodoquadro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 xml:space="preserve">365 / 12 =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>30,4167 média</w:t>
                      </w:r>
                      <w:proofErr w:type="gramEnd"/>
                      <w:r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 xml:space="preserve"> de dias por mês</w:t>
                      </w:r>
                    </w:p>
                    <w:p w:rsidR="00240C8D" w:rsidRDefault="00240C8D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>120 / 30,4167 = 3,95 meses de licença maternidade</w:t>
                      </w:r>
                    </w:p>
                  </w:txbxContent>
                </v:textbox>
              </v:rect>
            </w:pict>
          </mc:Fallback>
        </mc:AlternateContent>
      </w:r>
    </w:p>
    <w:p w:rsidR="0035251D" w:rsidRDefault="0035251D">
      <w:pPr>
        <w:pStyle w:val="PargrafodaLista"/>
        <w:ind w:left="786"/>
        <w:jc w:val="center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5251D" w:rsidRDefault="0035251D">
      <w:pPr>
        <w:jc w:val="center"/>
        <w:rPr>
          <w:rFonts w:asciiTheme="minorHAnsi" w:hAnsiTheme="minorHAnsi" w:cs="Arial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240C8D">
      <w:pPr>
        <w:jc w:val="both"/>
        <w:rPr>
          <w:rFonts w:ascii="Calibri" w:hAnsi="Calibri" w:cs="Arial"/>
          <w:u w:val="single"/>
          <w:lang w:val="pt-PT"/>
        </w:rPr>
      </w:pPr>
      <w:r>
        <w:rPr>
          <w:rFonts w:ascii="Calibri" w:hAnsi="Calibri" w:cs="Arial"/>
          <w:u w:val="single"/>
          <w:lang w:val="pt-PT"/>
        </w:rPr>
        <w:t xml:space="preserve">Submódulo 4.2 – </w:t>
      </w:r>
      <w:r>
        <w:rPr>
          <w:rStyle w:val="Forte"/>
          <w:rFonts w:asciiTheme="minorHAnsi" w:hAnsiTheme="minorHAnsi" w:cs="Arial"/>
          <w:b w:val="0"/>
          <w:color w:val="000000"/>
          <w:u w:val="single"/>
          <w:shd w:val="clear" w:color="auto" w:fill="FFFFFF"/>
        </w:rPr>
        <w:t>Substituto na Intrajornada</w:t>
      </w:r>
    </w:p>
    <w:p w:rsidR="0035251D" w:rsidRDefault="0035251D">
      <w:pPr>
        <w:jc w:val="both"/>
        <w:rPr>
          <w:rFonts w:ascii="Calibri" w:hAnsi="Calibri" w:cs="Arial"/>
          <w:u w:val="single"/>
          <w:lang w:val="pt-PT"/>
        </w:rPr>
      </w:pPr>
    </w:p>
    <w:p w:rsidR="0035251D" w:rsidRDefault="00240C8D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4.2. Adicional de Intrajornada – Não foi previsto na planilha, portanto, esse custo será zerado.</w:t>
      </w:r>
    </w:p>
    <w:p w:rsidR="0035251D" w:rsidRDefault="0035251D">
      <w:pPr>
        <w:jc w:val="both"/>
        <w:rPr>
          <w:rFonts w:ascii="Calibri" w:hAnsi="Calibri" w:cs="Arial"/>
        </w:rPr>
      </w:pPr>
    </w:p>
    <w:tbl>
      <w:tblPr>
        <w:tblW w:w="8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3"/>
        <w:gridCol w:w="3118"/>
        <w:gridCol w:w="1972"/>
      </w:tblGrid>
      <w:tr w:rsidR="0035251D">
        <w:trPr>
          <w:trHeight w:val="51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Substituto na Intrajornada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VALOR (R$)</w:t>
            </w:r>
          </w:p>
        </w:tc>
      </w:tr>
      <w:tr w:rsidR="0035251D">
        <w:trPr>
          <w:trHeight w:val="63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Intervalo trabalhado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5251D" w:rsidRDefault="0035251D">
      <w:pPr>
        <w:jc w:val="both"/>
        <w:rPr>
          <w:rFonts w:ascii="Calibri" w:hAnsi="Calibri" w:cs="Arial"/>
        </w:rPr>
        <w:sectPr w:rsidR="0035251D">
          <w:headerReference w:type="default" r:id="rId12"/>
          <w:pgSz w:w="11906" w:h="16838"/>
          <w:pgMar w:top="1417" w:right="1274" w:bottom="1417" w:left="1418" w:header="708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  <w:formProt w:val="0"/>
          <w:docGrid w:linePitch="360"/>
        </w:sectPr>
      </w:pPr>
    </w:p>
    <w:p w:rsidR="0035251D" w:rsidRDefault="0035251D">
      <w:pPr>
        <w:jc w:val="both"/>
        <w:rPr>
          <w:rFonts w:ascii="Calibri" w:hAnsi="Calibri" w:cs="Arial"/>
          <w:b/>
          <w:u w:val="single"/>
        </w:rPr>
      </w:pPr>
    </w:p>
    <w:p w:rsidR="0035251D" w:rsidRDefault="00240C8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Módulo 5 – Insumos Diversos</w:t>
      </w:r>
    </w:p>
    <w:p w:rsidR="0035251D" w:rsidRDefault="0035251D">
      <w:pPr>
        <w:jc w:val="both"/>
        <w:rPr>
          <w:rFonts w:ascii="Calibri" w:hAnsi="Calibri" w:cs="Arial"/>
          <w:b/>
          <w:u w:val="single"/>
        </w:rPr>
      </w:pPr>
    </w:p>
    <w:p w:rsidR="0035251D" w:rsidRDefault="00240C8D">
      <w:pPr>
        <w:spacing w:line="276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A) Uniformes</w:t>
      </w:r>
    </w:p>
    <w:p w:rsidR="0035251D" w:rsidRDefault="00240C8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É considerado os valores praticados no mercado para uniforme e EPIS (Auxiliar de Cozinha)</w:t>
      </w:r>
    </w:p>
    <w:p w:rsidR="0035251D" w:rsidRDefault="0035251D">
      <w:pPr>
        <w:spacing w:line="276" w:lineRule="auto"/>
        <w:jc w:val="both"/>
        <w:rPr>
          <w:rFonts w:ascii="Calibri" w:hAnsi="Calibri" w:cs="Arial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35"/>
        <w:gridCol w:w="405"/>
        <w:gridCol w:w="4251"/>
        <w:gridCol w:w="890"/>
        <w:gridCol w:w="1003"/>
        <w:gridCol w:w="1054"/>
        <w:gridCol w:w="1156"/>
        <w:gridCol w:w="406"/>
      </w:tblGrid>
      <w:tr w:rsidR="0035251D">
        <w:trPr>
          <w:trHeight w:val="225"/>
        </w:trPr>
        <w:tc>
          <w:tcPr>
            <w:tcW w:w="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ITEM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US" w:eastAsia="en-US"/>
              </w:rPr>
              <w:t>DISCRIMINAÇÃO UNIFORME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QUANT.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UNIDADE</w:t>
            </w:r>
          </w:p>
        </w:tc>
        <w:tc>
          <w:tcPr>
            <w:tcW w:w="26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VALOR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Theme="minorHAnsi" w:hAnsiTheme="minorHAns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UNITÁRIO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TOTAL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1.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Auxiliar de Cozinha</w:t>
            </w: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 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R$ </w:t>
            </w:r>
          </w:p>
        </w:tc>
      </w:tr>
      <w:tr w:rsidR="0035251D">
        <w:trPr>
          <w:trHeight w:val="11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1.1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Dólmã –</w:t>
            </w:r>
            <w:r>
              <w:rPr>
                <w:rFonts w:ascii="Arial" w:hAnsi="Arial" w:cs="Arial"/>
                <w:sz w:val="18"/>
                <w:szCs w:val="18"/>
              </w:rPr>
              <w:t xml:space="preserve"> Modelo Unissex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acinturado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com abotoamento lateral com botões de pressão embutidos (vista coberta).  Manga 7/8 com bolso na manga. Material / Cor: Sarja Mista – Algodão 65% e 35% Poliéster / Branco</w:t>
            </w:r>
          </w:p>
          <w:p w:rsidR="0035251D" w:rsidRDefault="0035251D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.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56,33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168,99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1.2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Calça – Modelo Unissex com elástico em todo o cós, bolsos traseiros chapados e alça para ajuste da barra. Material / Cor: Tecido misto- 52% Algodão 48% Poliéster / Xadrez (“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Poule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”)</w:t>
            </w:r>
          </w:p>
          <w:p w:rsidR="0035251D" w:rsidRDefault="0035251D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par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54,62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163,86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1.3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Sapatos Antiderrapante (par)</w:t>
            </w:r>
          </w:p>
          <w:p w:rsidR="0035251D" w:rsidRDefault="0035251D">
            <w:pPr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.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49,37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98,74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1.4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Meias (par)</w:t>
            </w:r>
          </w:p>
          <w:p w:rsidR="0035251D" w:rsidRDefault="0035251D">
            <w:pPr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4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.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6,74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26,96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1.5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Avental de peito –</w:t>
            </w:r>
            <w:r>
              <w:rPr>
                <w:rFonts w:ascii="Arial" w:hAnsi="Arial" w:cs="Arial"/>
                <w:sz w:val="18"/>
                <w:szCs w:val="18"/>
              </w:rPr>
              <w:t xml:space="preserve"> Modelo Unissex de peito com transpasse parcial. Regulagem da alça superior com nó. Tamanho único. Material / Cor: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Terbrim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Algodão 33% e 67% Poliéster / Preto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57,64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115,28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1.6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Avental Térmico de Segurança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95,15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95,15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1.7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Máscara Dupla Descartável branca com 100 unidades Não tecido 100% polipropileno (TNT) duas camadas externa de 20g/m² cada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Filtro de retenção bacteriana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meltblown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uma camada 20g/m² casa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Clip para ajuste nasal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Cor branca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Pct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 xml:space="preserve"> com 100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9,75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29,25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1.8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Touca em TNT Descartável Sanfonada Branca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Pct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 xml:space="preserve"> com 100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7,88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23,64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1.9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Luva Térmica (até 240º) (par)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Unid</w:t>
            </w:r>
            <w:proofErr w:type="spellEnd"/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60,77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60,77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1.10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Luva Descartável (par)</w:t>
            </w:r>
          </w:p>
          <w:p w:rsidR="0035251D" w:rsidRDefault="0035251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3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/>
                <w:lang w:val="en-US" w:eastAsia="en-US"/>
              </w:rPr>
              <w:t>Pct</w:t>
            </w:r>
            <w:proofErr w:type="spellEnd"/>
            <w:r>
              <w:rPr>
                <w:rFonts w:asciiTheme="minorHAnsi" w:hAnsiTheme="minorHAnsi"/>
                <w:lang w:val="en-US" w:eastAsia="en-US"/>
              </w:rPr>
              <w:t xml:space="preserve"> com 100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17,88 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53,64 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right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Valor mensal </w:t>
            </w:r>
            <w:proofErr w:type="spellStart"/>
            <w:r>
              <w:rPr>
                <w:rFonts w:asciiTheme="minorHAnsi" w:hAnsiTheme="minorHAnsi"/>
                <w:b/>
                <w:bCs/>
                <w:lang w:val="en-US" w:eastAsia="en-US"/>
              </w:rPr>
              <w:t>por</w:t>
            </w:r>
            <w:proofErr w:type="spellEnd"/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lang w:val="en-US" w:eastAsia="en-US"/>
              </w:rPr>
              <w:t>funcionário</w:t>
            </w:r>
            <w:proofErr w:type="spellEnd"/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69,69</w:t>
            </w:r>
          </w:p>
        </w:tc>
      </w:tr>
      <w:tr w:rsidR="0035251D">
        <w:trPr>
          <w:trHeight w:val="225"/>
        </w:trPr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Valor </w:t>
            </w:r>
            <w:proofErr w:type="spellStart"/>
            <w:r>
              <w:rPr>
                <w:rFonts w:asciiTheme="minorHAnsi" w:hAnsiTheme="minorHAnsi"/>
                <w:b/>
                <w:bCs/>
                <w:lang w:val="en-US" w:eastAsia="en-US"/>
              </w:rPr>
              <w:t>anual</w:t>
            </w:r>
            <w:proofErr w:type="spellEnd"/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lang w:val="en-US" w:eastAsia="en-US"/>
              </w:rPr>
              <w:t>por</w:t>
            </w:r>
            <w:proofErr w:type="spellEnd"/>
            <w:r>
              <w:rPr>
                <w:rFonts w:asciiTheme="minorHAnsi" w:hAnsiTheme="min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lang w:val="en-US" w:eastAsia="en-US"/>
              </w:rPr>
              <w:t>funcionário</w:t>
            </w:r>
            <w:proofErr w:type="spellEnd"/>
          </w:p>
        </w:tc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jc w:val="center"/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lang w:val="en-US" w:eastAsia="en-US"/>
              </w:rPr>
            </w:pPr>
            <w:r>
              <w:rPr>
                <w:rFonts w:asciiTheme="minorHAnsi" w:hAnsiTheme="minorHAnsi"/>
                <w:lang w:val="en-US" w:eastAsia="en-US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251D" w:rsidRDefault="00240C8D">
            <w:pPr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836,28</w:t>
            </w:r>
          </w:p>
        </w:tc>
      </w:tr>
      <w:tr w:rsidR="0035251D">
        <w:trPr>
          <w:trHeight w:val="660"/>
        </w:trPr>
        <w:tc>
          <w:tcPr>
            <w:tcW w:w="235" w:type="dxa"/>
            <w:shd w:val="clear" w:color="auto" w:fill="auto"/>
            <w:vAlign w:val="center"/>
          </w:tcPr>
          <w:p w:rsidR="0035251D" w:rsidRDefault="0035251D">
            <w:pPr>
              <w:jc w:val="right"/>
              <w:rPr>
                <w:rFonts w:asciiTheme="minorHAnsi" w:hAnsiTheme="minorHAnsi"/>
                <w:lang w:val="en-US" w:eastAsia="en-US"/>
              </w:rPr>
            </w:pPr>
          </w:p>
        </w:tc>
        <w:tc>
          <w:tcPr>
            <w:tcW w:w="8758" w:type="dxa"/>
            <w:gridSpan w:val="6"/>
            <w:shd w:val="clear" w:color="auto" w:fill="auto"/>
            <w:vAlign w:val="bottom"/>
          </w:tcPr>
          <w:p w:rsidR="0035251D" w:rsidRDefault="0035251D">
            <w:pPr>
              <w:rPr>
                <w:rFonts w:asciiTheme="minorHAnsi" w:hAnsiTheme="minorHAnsi"/>
                <w:lang w:eastAsia="en-US"/>
              </w:rPr>
            </w:pPr>
          </w:p>
          <w:p w:rsidR="0035251D" w:rsidRDefault="00240C8D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OBSERVAÇÕES:</w:t>
            </w:r>
          </w:p>
          <w:p w:rsidR="0035251D" w:rsidRDefault="00240C8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Conforme cláusula 35ª da CCT 2018/2019, os uniformes deverão ser fornecidos em número de dois por ano. Assim, deverá ser fornecido um conjunto na admissão e mais um após 06 meses.</w:t>
            </w:r>
          </w:p>
          <w:p w:rsidR="0035251D" w:rsidRDefault="00240C8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 conjunto inicial deverá ser composto por 02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Dolmãs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, 02 calças, </w:t>
            </w:r>
            <w:proofErr w:type="gramStart"/>
            <w:r>
              <w:rPr>
                <w:rFonts w:asciiTheme="minorHAnsi" w:hAnsiTheme="minorHAnsi"/>
                <w:lang w:eastAsia="en-US"/>
              </w:rPr>
              <w:t>01 sapato</w:t>
            </w:r>
            <w:proofErr w:type="gramEnd"/>
            <w:r>
              <w:rPr>
                <w:rFonts w:asciiTheme="minorHAnsi" w:hAnsiTheme="minorHAnsi"/>
                <w:lang w:eastAsia="en-US"/>
              </w:rPr>
              <w:t xml:space="preserve"> antiaderente e 02 meias, 1 Avental de Peito, 1 Avental térmico de segurança, 2 pacotes de máscara dupla, 2 pacotes de Touca em TNT, 1 Luva Térmica e 2 pacotes de Luva Descartável.</w:t>
            </w:r>
          </w:p>
          <w:p w:rsidR="0035251D" w:rsidRDefault="00240C8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Após seis meses do início do contrato, deverá ser fornecido novo conjunto composto por 01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Dolmã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, </w:t>
            </w:r>
            <w:proofErr w:type="gramStart"/>
            <w:r>
              <w:rPr>
                <w:rFonts w:asciiTheme="minorHAnsi" w:hAnsiTheme="minorHAnsi"/>
                <w:lang w:eastAsia="en-US"/>
              </w:rPr>
              <w:t>01 calça</w:t>
            </w:r>
            <w:proofErr w:type="gramEnd"/>
            <w:r>
              <w:rPr>
                <w:rFonts w:asciiTheme="minorHAnsi" w:hAnsiTheme="minorHAnsi"/>
                <w:lang w:eastAsia="en-US"/>
              </w:rPr>
              <w:t>, 01 sapato antiaderente e 02 meias, 1 Avental de Peito, 1 pacote de máscara dupla, 1 pacotes de Touca em TNT, e 1 pacote de Luva Descartável.</w:t>
            </w:r>
          </w:p>
          <w:p w:rsidR="0035251D" w:rsidRDefault="00240C8D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 caso de renovação contratual, novos conjuntos deverão ser fornecidos.</w:t>
            </w:r>
          </w:p>
        </w:tc>
        <w:tc>
          <w:tcPr>
            <w:tcW w:w="406" w:type="dxa"/>
            <w:shd w:val="clear" w:color="auto" w:fill="auto"/>
          </w:tcPr>
          <w:p w:rsidR="0035251D" w:rsidRDefault="0035251D"/>
        </w:tc>
      </w:tr>
    </w:tbl>
    <w:p w:rsidR="0035251D" w:rsidRDefault="0035251D">
      <w:pPr>
        <w:rPr>
          <w:rFonts w:asciiTheme="minorHAnsi" w:hAnsiTheme="minorHAnsi" w:cs="Arial"/>
          <w:b/>
        </w:rPr>
      </w:pPr>
    </w:p>
    <w:p w:rsidR="0035251D" w:rsidRDefault="00240C8D">
      <w:pPr>
        <w:rPr>
          <w:rFonts w:asciiTheme="minorHAnsi" w:hAnsiTheme="minorHAnsi" w:cs="Arial"/>
          <w:b/>
          <w:lang w:val="pt-PT"/>
        </w:rPr>
      </w:pPr>
      <w:r>
        <w:rPr>
          <w:rFonts w:asciiTheme="minorHAnsi" w:hAnsiTheme="minorHAnsi" w:cs="Arial"/>
          <w:b/>
          <w:lang w:val="pt-PT"/>
        </w:rPr>
        <w:t>B) EQUIPAMENTOS E MATERIAIS DURÁVEIS</w:t>
      </w:r>
    </w:p>
    <w:p w:rsidR="0035251D" w:rsidRDefault="0035251D">
      <w:pPr>
        <w:rPr>
          <w:rFonts w:asciiTheme="minorHAnsi" w:hAnsiTheme="minorHAnsi" w:cs="Arial"/>
          <w:b/>
          <w:lang w:val="pt-PT"/>
        </w:rPr>
      </w:pPr>
    </w:p>
    <w:p w:rsidR="0035251D" w:rsidRDefault="00240C8D">
      <w:pPr>
        <w:pStyle w:val="PargrafodaLista1"/>
        <w:spacing w:line="276" w:lineRule="auto"/>
        <w:rPr>
          <w:rFonts w:ascii="Calibri" w:hAnsi="Calibri" w:cs="Arial"/>
        </w:rPr>
        <w:sectPr w:rsidR="0035251D">
          <w:headerReference w:type="default" r:id="rId13"/>
          <w:pgSz w:w="11906" w:h="16838"/>
          <w:pgMar w:top="1418" w:right="1276" w:bottom="1418" w:left="1276" w:header="709" w:footer="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  <w:formProt w:val="0"/>
          <w:docGrid w:linePitch="360"/>
        </w:sectPr>
      </w:pPr>
      <w:r>
        <w:rPr>
          <w:rFonts w:ascii="Calibri" w:hAnsi="Calibri" w:cs="Arial"/>
        </w:rPr>
        <w:t>Não há fornecimento de equipamentos ou materiais.</w:t>
      </w:r>
    </w:p>
    <w:p w:rsidR="0035251D" w:rsidRDefault="00240C8D">
      <w:pPr>
        <w:rPr>
          <w:rFonts w:ascii="Calibri" w:eastAsiaTheme="minorHAnsi" w:hAnsi="Calibri" w:cs="Arial"/>
          <w:b/>
          <w:u w:val="single"/>
          <w:lang w:eastAsia="en-US"/>
        </w:rPr>
      </w:pPr>
      <w:r>
        <w:rPr>
          <w:rFonts w:ascii="Calibri" w:eastAsiaTheme="minorHAnsi" w:hAnsi="Calibri" w:cs="Arial"/>
          <w:b/>
          <w:u w:val="single"/>
          <w:lang w:eastAsia="en-US"/>
        </w:rPr>
        <w:t>Módulo 6 – Custos Indiretos, Lucro e Tributos</w:t>
      </w:r>
    </w:p>
    <w:p w:rsidR="0035251D" w:rsidRDefault="0035251D">
      <w:pPr>
        <w:rPr>
          <w:rFonts w:ascii="Calibri" w:eastAsiaTheme="minorHAnsi" w:hAnsi="Calibri" w:cs="Arial"/>
          <w:b/>
          <w:u w:val="single"/>
          <w:lang w:eastAsia="en-US"/>
        </w:rPr>
      </w:pPr>
    </w:p>
    <w:tbl>
      <w:tblPr>
        <w:tblW w:w="5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126"/>
        <w:gridCol w:w="2547"/>
      </w:tblGrid>
      <w:tr w:rsidR="0035251D">
        <w:trPr>
          <w:trHeight w:val="510"/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CUSTOS INDIRETOS, TRIBUTOS E LUCRO REAL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</w:tr>
      <w:tr w:rsidR="0035251D">
        <w:trPr>
          <w:trHeight w:val="4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Custos Indiretos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>
              <w:rPr>
                <w:rFonts w:asciiTheme="minorHAnsi" w:hAnsiTheme="minorHAnsi" w:cs="Arial"/>
                <w:b/>
              </w:rPr>
              <w:t>5,09%</w:t>
            </w: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Lucro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>
              <w:rPr>
                <w:rFonts w:asciiTheme="minorHAnsi" w:hAnsiTheme="minorHAnsi" w:cs="Arial"/>
                <w:b/>
              </w:rPr>
              <w:t>6,33%</w:t>
            </w:r>
          </w:p>
        </w:tc>
      </w:tr>
      <w:tr w:rsidR="0035251D">
        <w:trPr>
          <w:trHeight w:val="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Tributos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C.1. Tributos federais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(PIS = 1,65% e COFINS = 7,65%)</w:t>
            </w: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C.2. Tributos estaduais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(ESPECIFICAR)</w:t>
            </w:r>
          </w:p>
        </w:tc>
      </w:tr>
      <w:tr w:rsidR="0035251D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C.3 Tributos municipais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(ISS = 5,00%)</w:t>
            </w:r>
          </w:p>
        </w:tc>
      </w:tr>
      <w:tr w:rsidR="0035251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5251D" w:rsidRDefault="0035251D">
      <w:pPr>
        <w:rPr>
          <w:rFonts w:ascii="Calibri" w:eastAsiaTheme="minorHAnsi" w:hAnsi="Calibri" w:cs="Arial"/>
          <w:b/>
          <w:u w:val="single"/>
          <w:lang w:eastAsia="en-US"/>
        </w:rPr>
      </w:pPr>
    </w:p>
    <w:tbl>
      <w:tblPr>
        <w:tblW w:w="5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126"/>
        <w:gridCol w:w="2547"/>
      </w:tblGrid>
      <w:tr w:rsidR="0035251D">
        <w:trPr>
          <w:trHeight w:val="510"/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CUSTOS INDIRETOS, TRIBUTOS E LUCRO PRESUMIDO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MEMÓRIA DE CÁLCULO </w:t>
            </w:r>
          </w:p>
        </w:tc>
      </w:tr>
      <w:tr w:rsidR="0035251D">
        <w:trPr>
          <w:trHeight w:val="4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Custos Indiretos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>
              <w:rPr>
                <w:rFonts w:asciiTheme="minorHAnsi" w:hAnsiTheme="minorHAnsi" w:cs="Arial"/>
                <w:b/>
              </w:rPr>
              <w:t>5,09%</w:t>
            </w: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Lucro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Conforme valor pesquisado, será considerado a alíquota </w:t>
            </w:r>
            <w:r>
              <w:rPr>
                <w:rFonts w:asciiTheme="minorHAnsi" w:hAnsiTheme="minorHAnsi" w:cs="Arial"/>
                <w:b/>
              </w:rPr>
              <w:t>6,33%</w:t>
            </w:r>
          </w:p>
        </w:tc>
      </w:tr>
      <w:tr w:rsidR="0035251D">
        <w:trPr>
          <w:trHeight w:val="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Tributos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C.1. Tributos federais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(PIS = 0,65% e COFINS = 3,00%)</w:t>
            </w:r>
          </w:p>
        </w:tc>
      </w:tr>
      <w:tr w:rsidR="0035251D">
        <w:trPr>
          <w:trHeight w:val="4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C.2. Tributos estaduais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(ESPECIFICAR)</w:t>
            </w:r>
          </w:p>
        </w:tc>
      </w:tr>
      <w:tr w:rsidR="0035251D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C.3 Tributos municipais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(ISS = 5,00%)</w:t>
            </w:r>
          </w:p>
        </w:tc>
      </w:tr>
      <w:tr w:rsidR="0035251D">
        <w:trPr>
          <w:trHeight w:val="4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240C8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35251D" w:rsidRDefault="0035251D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5251D" w:rsidRDefault="0035251D">
      <w:pPr>
        <w:rPr>
          <w:rFonts w:ascii="Calibri" w:eastAsiaTheme="minorHAnsi" w:hAnsi="Calibri" w:cs="Arial"/>
          <w:lang w:eastAsia="en-US"/>
        </w:rPr>
      </w:pPr>
    </w:p>
    <w:p w:rsidR="0035251D" w:rsidRDefault="00240C8D">
      <w:pPr>
        <w:jc w:val="both"/>
        <w:rPr>
          <w:rFonts w:ascii="Calibri" w:eastAsiaTheme="minorHAnsi" w:hAnsi="Calibri" w:cs="Arial"/>
          <w:lang w:eastAsia="en-US"/>
        </w:rPr>
      </w:pPr>
      <w:r>
        <w:rPr>
          <w:rFonts w:ascii="Calibri" w:eastAsiaTheme="minorHAnsi" w:hAnsi="Calibri" w:cs="Arial"/>
          <w:lang w:eastAsia="en-US"/>
        </w:rPr>
        <w:t>Para fins de estimativa, os percentuais médios de lucro e custos indiretos foram baseados nos valores praticados nas planilhas de custos por empresas do mesmo ramo de atuação.</w:t>
      </w:r>
    </w:p>
    <w:p w:rsidR="0035251D" w:rsidRDefault="0035251D">
      <w:pPr>
        <w:jc w:val="both"/>
        <w:rPr>
          <w:rFonts w:ascii="Calibri" w:eastAsiaTheme="minorHAnsi" w:hAnsi="Calibri" w:cs="Arial"/>
          <w:lang w:eastAsia="en-US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CÁLCULO CUSTOS INDIRETOS: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Cálculo: (Módulo 1 </w:t>
      </w:r>
      <w:proofErr w:type="gramStart"/>
      <w:r>
        <w:rPr>
          <w:rFonts w:asciiTheme="minorHAnsi" w:hAnsiTheme="minorHAnsi" w:cs="Arial"/>
        </w:rPr>
        <w:t>+</w:t>
      </w:r>
      <w:proofErr w:type="gramEnd"/>
      <w:r>
        <w:rPr>
          <w:rFonts w:asciiTheme="minorHAnsi" w:hAnsiTheme="minorHAnsi" w:cs="Arial"/>
        </w:rPr>
        <w:t xml:space="preserve"> Módulo 2 + Módulo 3 + Módulo 4 + Módulo 5) x % custos indiretos (média praticada pelas empresas do setor)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1 = 4,70%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2 = 5,00%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3 = 5,57%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Média = 5,09%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CÁLCULO LUCRO: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Cálculo: (Módulo 1 </w:t>
      </w:r>
      <w:proofErr w:type="gramStart"/>
      <w:r>
        <w:rPr>
          <w:rFonts w:asciiTheme="minorHAnsi" w:hAnsiTheme="minorHAnsi" w:cs="Arial"/>
        </w:rPr>
        <w:t>+</w:t>
      </w:r>
      <w:proofErr w:type="gramEnd"/>
      <w:r>
        <w:rPr>
          <w:rFonts w:asciiTheme="minorHAnsi" w:hAnsiTheme="minorHAnsi" w:cs="Arial"/>
        </w:rPr>
        <w:t xml:space="preserve"> Módulo 2 + Módulo 3 + Módulo 4 + Módulo 5 + Módulo 6-A) x % lucro (média praticada pelas empresas do setor)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1 = 10,00%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2 = 5,00%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Proposta 3 = 4,00%</w:t>
      </w:r>
    </w:p>
    <w:p w:rsidR="0035251D" w:rsidRDefault="00240C8D">
      <w:pPr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Média = 6,33%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CÁLCULO TRIBUTOS: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>Fator de divisão</w:t>
      </w:r>
      <w:r w:rsidR="002F73F4">
        <w:rPr>
          <w:rFonts w:asciiTheme="minorHAnsi" w:hAnsiTheme="minorHAnsi" w:cs="Arial"/>
        </w:rPr>
        <w:t xml:space="preserve">: 1 – </w:t>
      </w:r>
      <w:bookmarkStart w:id="0" w:name="_GoBack"/>
      <w:bookmarkEnd w:id="0"/>
      <w:r>
        <w:rPr>
          <w:rFonts w:asciiTheme="minorHAnsi" w:hAnsiTheme="minorHAnsi" w:cs="Arial"/>
        </w:rPr>
        <w:t>(Alíquota do PIS + Alíquota da COFINS + Alíquota do ISS) : 100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color w:val="FF0000"/>
        </w:rPr>
        <w:t>Base de Cálculo:</w:t>
      </w:r>
      <w:r>
        <w:rPr>
          <w:rFonts w:asciiTheme="minorHAnsi" w:hAnsiTheme="minorHAnsi" w:cs="Arial"/>
          <w:color w:val="FF0000"/>
        </w:rPr>
        <w:t xml:space="preserve"> </w:t>
      </w:r>
      <w:r>
        <w:rPr>
          <w:rFonts w:asciiTheme="minorHAnsi" w:hAnsiTheme="minorHAnsi" w:cs="Arial"/>
        </w:rPr>
        <w:t>(Módulo 1 + Módulo 2 + Módulo 3 + Módulo 4 + Módulo 5 + Módulo 6-A + Modulo 6-B</w:t>
      </w:r>
      <w:proofErr w:type="gramStart"/>
      <w:r>
        <w:rPr>
          <w:rFonts w:asciiTheme="minorHAnsi" w:hAnsiTheme="minorHAnsi" w:cs="Arial"/>
        </w:rPr>
        <w:t>) :</w:t>
      </w:r>
      <w:proofErr w:type="gramEnd"/>
      <w:r>
        <w:rPr>
          <w:rFonts w:asciiTheme="minorHAnsi" w:hAnsiTheme="minorHAnsi" w:cs="Arial"/>
        </w:rPr>
        <w:t xml:space="preserve"> Fator de Divisão</w:t>
      </w:r>
    </w:p>
    <w:p w:rsidR="0035251D" w:rsidRDefault="0035251D">
      <w:pPr>
        <w:spacing w:line="276" w:lineRule="auto"/>
        <w:jc w:val="both"/>
        <w:rPr>
          <w:rFonts w:asciiTheme="minorHAnsi" w:eastAsiaTheme="minorHAnsi" w:hAnsiTheme="minorHAnsi"/>
          <w:highlight w:val="yellow"/>
          <w:lang w:eastAsia="en-US"/>
        </w:rPr>
      </w:pPr>
    </w:p>
    <w:p w:rsidR="0035251D" w:rsidRDefault="00240C8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Cálculo tributos federais: Base de cálculo x alíquota (PIS e COFINS)</w:t>
      </w:r>
    </w:p>
    <w:p w:rsidR="0035251D" w:rsidRDefault="00240C8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Cálculo tributos municipais: Base de cálculo x alíquota (ISS)</w:t>
      </w:r>
    </w:p>
    <w:p w:rsidR="0035251D" w:rsidRDefault="0035251D">
      <w:pPr>
        <w:jc w:val="center"/>
        <w:rPr>
          <w:rFonts w:ascii="Calibri" w:eastAsiaTheme="minorHAnsi" w:hAnsi="Calibri" w:cs="Arial"/>
          <w:b/>
          <w:lang w:eastAsia="en-US"/>
        </w:rPr>
      </w:pPr>
    </w:p>
    <w:p w:rsidR="0035251D" w:rsidRDefault="0035251D">
      <w:pPr>
        <w:jc w:val="both"/>
        <w:rPr>
          <w:rFonts w:ascii="Calibri" w:eastAsiaTheme="minorHAnsi" w:hAnsi="Calibri" w:cs="Arial"/>
          <w:lang w:eastAsia="en-US"/>
        </w:rPr>
      </w:pPr>
    </w:p>
    <w:p w:rsidR="0035251D" w:rsidRDefault="00240C8D">
      <w:pPr>
        <w:spacing w:line="276" w:lineRule="auto"/>
        <w:jc w:val="both"/>
        <w:rPr>
          <w:rFonts w:ascii="Calibri" w:eastAsiaTheme="minorHAnsi" w:hAnsi="Calibri" w:cs="Arial"/>
          <w:b/>
          <w:u w:val="single"/>
          <w:lang w:eastAsia="en-US"/>
        </w:rPr>
      </w:pPr>
      <w:r>
        <w:rPr>
          <w:rFonts w:ascii="Calibri" w:eastAsiaTheme="minorHAnsi" w:hAnsi="Calibri" w:cs="Arial"/>
          <w:b/>
          <w:u w:val="single"/>
          <w:lang w:eastAsia="en-US"/>
        </w:rPr>
        <w:t>Tributação</w:t>
      </w:r>
    </w:p>
    <w:p w:rsidR="0035251D" w:rsidRDefault="0035251D">
      <w:pPr>
        <w:spacing w:line="276" w:lineRule="auto"/>
        <w:jc w:val="both"/>
        <w:rPr>
          <w:rFonts w:ascii="Calibri" w:eastAsiaTheme="minorHAnsi" w:hAnsi="Calibri" w:cs="Arial"/>
          <w:lang w:eastAsia="en-US"/>
        </w:rPr>
      </w:pPr>
    </w:p>
    <w:p w:rsidR="0035251D" w:rsidRDefault="00240C8D">
      <w:pPr>
        <w:spacing w:line="276" w:lineRule="auto"/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Os tributos (ISS, COFINS e PIS) foram definidos utilizando o regime de tributação de Lucro REAL e PRESUMIDO, e a licitante deve elaborar sua proposta e, por conseguinte, sua planilha com base no regime de tributação ao qual estará submetido durante a execução do contrato.</w:t>
      </w:r>
    </w:p>
    <w:p w:rsidR="0035251D" w:rsidRDefault="0035251D">
      <w:pPr>
        <w:spacing w:line="276" w:lineRule="auto"/>
        <w:jc w:val="both"/>
        <w:rPr>
          <w:rFonts w:asciiTheme="minorHAnsi" w:eastAsiaTheme="minorHAnsi" w:hAnsiTheme="minorHAnsi" w:cs="Arial"/>
          <w:lang w:eastAsia="en-US"/>
        </w:rPr>
      </w:pPr>
    </w:p>
    <w:p w:rsidR="0035251D" w:rsidRDefault="00240C8D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ISSQN está sendo cotado conforme a legislação do município de Niterói onde serão prestados os serviços. Os tributos IRPJ e CSLL deixaram de constar na planilha </w:t>
      </w:r>
      <w:r>
        <w:rPr>
          <w:rFonts w:asciiTheme="minorHAnsi" w:hAnsiTheme="minorHAnsi" w:cs="Arial"/>
          <w:b/>
        </w:rPr>
        <w:t>para a empresa que optar pelo regime tributário de LUCRO REAL ou PRESUMIDO</w:t>
      </w:r>
      <w:r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  <w:b/>
        </w:rPr>
        <w:t>já que estão contidos no lucro bruto apresentado na proposta</w:t>
      </w:r>
      <w:r>
        <w:rPr>
          <w:rFonts w:asciiTheme="minorHAnsi" w:hAnsiTheme="minorHAnsi" w:cs="Arial"/>
        </w:rPr>
        <w:t xml:space="preserve"> e em virtude da determinação contida na Súmula do TCU nº 254, Acórdão TCU nº 1591/2008 – Plenário, Acórdão TCU nº 264/2012 – Plenário e </w:t>
      </w:r>
      <w:proofErr w:type="gramStart"/>
      <w:r>
        <w:rPr>
          <w:rFonts w:asciiTheme="minorHAnsi" w:hAnsiTheme="minorHAnsi" w:cs="Arial"/>
        </w:rPr>
        <w:t>Informativo  de</w:t>
      </w:r>
      <w:proofErr w:type="gramEnd"/>
      <w:r>
        <w:rPr>
          <w:rFonts w:asciiTheme="minorHAnsi" w:hAnsiTheme="minorHAnsi" w:cs="Arial"/>
        </w:rPr>
        <w:t xml:space="preserve"> Jurisprudência TCU nº 279.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35251D" w:rsidRDefault="00240C8D">
      <w:pPr>
        <w:shd w:val="clear" w:color="auto" w:fill="FFFFFF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O preço ofertado pelos licitantes deve ser comprovadamente suficiente para cumprir suas obrigações legais, sociais e </w:t>
      </w:r>
      <w:r>
        <w:rPr>
          <w:rFonts w:asciiTheme="minorHAnsi" w:hAnsiTheme="minorHAnsi" w:cs="Arial"/>
          <w:b/>
          <w:bCs/>
          <w:u w:val="single"/>
        </w:rPr>
        <w:t>tributárias.</w:t>
      </w:r>
      <w:r>
        <w:rPr>
          <w:rFonts w:asciiTheme="minorHAnsi" w:hAnsiTheme="minorHAnsi" w:cs="Arial"/>
          <w:b/>
          <w:bCs/>
        </w:rPr>
        <w:t> O estado não pode contratar quem apresentar PCFP que demonstre que a contratação ensejará operar em prejuízo. Este é o conceito de inexequibilidade previsto no subitem 9.2 do Anexo VII-A da IN 05/2017 da SEGES/MP.</w:t>
      </w:r>
    </w:p>
    <w:p w:rsidR="0035251D" w:rsidRDefault="0035251D">
      <w:pPr>
        <w:spacing w:line="276" w:lineRule="auto"/>
        <w:jc w:val="both"/>
        <w:rPr>
          <w:rFonts w:asciiTheme="minorHAnsi" w:hAnsiTheme="minorHAnsi" w:cs="Arial"/>
        </w:rPr>
      </w:pPr>
    </w:p>
    <w:p w:rsidR="0035251D" w:rsidRDefault="00240C8D">
      <w:pPr>
        <w:shd w:val="clear" w:color="auto" w:fill="FFFFFF"/>
        <w:spacing w:line="276" w:lineRule="auto"/>
        <w:rPr>
          <w:rFonts w:ascii="Calibri" w:eastAsia="Lucida Sans Unicode" w:hAnsi="Calibri"/>
          <w:kern w:val="2"/>
        </w:rPr>
      </w:pPr>
      <w:r>
        <w:rPr>
          <w:rFonts w:ascii="Arial" w:hAnsi="Arial" w:cs="Arial"/>
          <w:color w:val="222222"/>
        </w:rPr>
        <w:t> </w:t>
      </w:r>
      <w:r>
        <w:rPr>
          <w:rFonts w:ascii="Calibri" w:eastAsia="Lucida Sans Unicode" w:hAnsi="Calibri"/>
          <w:kern w:val="2"/>
        </w:rPr>
        <w:t xml:space="preserve">A LICITANTE deverá </w:t>
      </w:r>
      <w:r>
        <w:rPr>
          <w:rFonts w:ascii="Calibri" w:eastAsia="Lucida Sans Unicode" w:hAnsi="Calibri"/>
          <w:b/>
          <w:kern w:val="2"/>
        </w:rPr>
        <w:t xml:space="preserve">comprovar, por meio de documentação hábil (DCTF, GFIP, EFD </w:t>
      </w:r>
      <w:proofErr w:type="spellStart"/>
      <w:r>
        <w:rPr>
          <w:rFonts w:ascii="Calibri" w:eastAsia="Lucida Sans Unicode" w:hAnsi="Calibri"/>
          <w:b/>
          <w:kern w:val="2"/>
        </w:rPr>
        <w:t>etc</w:t>
      </w:r>
      <w:proofErr w:type="spellEnd"/>
      <w:r>
        <w:rPr>
          <w:rFonts w:ascii="Calibri" w:eastAsia="Lucida Sans Unicode" w:hAnsi="Calibri"/>
          <w:b/>
          <w:kern w:val="2"/>
        </w:rPr>
        <w:t>), a opção aos regimes acima elencados</w:t>
      </w:r>
      <w:r>
        <w:rPr>
          <w:rFonts w:ascii="Calibri" w:eastAsia="Lucida Sans Unicode" w:hAnsi="Calibri"/>
          <w:kern w:val="2"/>
        </w:rPr>
        <w:t xml:space="preserve">, a fim de que se possa </w:t>
      </w:r>
      <w:r>
        <w:rPr>
          <w:rFonts w:ascii="Calibri" w:eastAsia="Lucida Sans Unicode" w:hAnsi="Calibri"/>
          <w:b/>
          <w:kern w:val="2"/>
        </w:rPr>
        <w:t>certificar que as alíquotas do PIS e da COFINS e da Contribuição Social</w:t>
      </w:r>
      <w:r>
        <w:rPr>
          <w:rFonts w:ascii="Calibri" w:eastAsia="Lucida Sans Unicode" w:hAnsi="Calibri"/>
          <w:kern w:val="2"/>
        </w:rPr>
        <w:t xml:space="preserve"> </w:t>
      </w:r>
      <w:r>
        <w:rPr>
          <w:rFonts w:ascii="Calibri" w:eastAsia="Lucida Sans Unicode" w:hAnsi="Calibri"/>
          <w:b/>
          <w:kern w:val="2"/>
        </w:rPr>
        <w:t>consignadas na planilha conferem com sua opção tributária</w:t>
      </w:r>
      <w:r>
        <w:rPr>
          <w:rFonts w:ascii="Calibri" w:eastAsia="Lucida Sans Unicode" w:hAnsi="Calibri"/>
          <w:kern w:val="2"/>
        </w:rPr>
        <w:t>.</w:t>
      </w:r>
    </w:p>
    <w:p w:rsidR="0035251D" w:rsidRDefault="0035251D">
      <w:pPr>
        <w:widowControl w:val="0"/>
        <w:tabs>
          <w:tab w:val="left" w:pos="1560"/>
        </w:tabs>
        <w:spacing w:line="276" w:lineRule="auto"/>
        <w:ind w:left="1224"/>
        <w:jc w:val="both"/>
        <w:rPr>
          <w:rFonts w:ascii="Calibri" w:eastAsia="Lucida Sans Unicode" w:hAnsi="Calibri"/>
          <w:kern w:val="2"/>
        </w:rPr>
      </w:pPr>
    </w:p>
    <w:p w:rsidR="0035251D" w:rsidRDefault="00240C8D">
      <w:pPr>
        <w:widowControl w:val="0"/>
        <w:tabs>
          <w:tab w:val="left" w:pos="1560"/>
        </w:tabs>
        <w:spacing w:line="276" w:lineRule="auto"/>
        <w:jc w:val="both"/>
        <w:rPr>
          <w:rFonts w:ascii="Calibri" w:eastAsia="Lucida Sans Unicode" w:hAnsi="Calibri"/>
          <w:kern w:val="2"/>
        </w:rPr>
      </w:pPr>
      <w:r>
        <w:rPr>
          <w:rFonts w:ascii="Calibri" w:eastAsia="Lucida Sans Unicode" w:hAnsi="Calibri"/>
          <w:kern w:val="2"/>
        </w:rPr>
        <w:t xml:space="preserve">As </w:t>
      </w:r>
      <w:r>
        <w:rPr>
          <w:rFonts w:ascii="Calibri" w:eastAsia="Lucida Sans Unicode" w:hAnsi="Calibri"/>
          <w:b/>
          <w:kern w:val="2"/>
        </w:rPr>
        <w:t>empresas tributadas pelo regime de incidência</w:t>
      </w:r>
      <w:r>
        <w:rPr>
          <w:rFonts w:ascii="Calibri" w:eastAsia="Lucida Sans Unicode" w:hAnsi="Calibri"/>
          <w:kern w:val="2"/>
        </w:rPr>
        <w:t xml:space="preserve"> </w:t>
      </w:r>
      <w:r>
        <w:rPr>
          <w:rFonts w:ascii="Calibri" w:eastAsia="Lucida Sans Unicode" w:hAnsi="Calibri"/>
          <w:b/>
          <w:kern w:val="2"/>
          <w:u w:val="single"/>
        </w:rPr>
        <w:t>não-cumulativa</w:t>
      </w:r>
      <w:r>
        <w:rPr>
          <w:rFonts w:ascii="Calibri" w:eastAsia="Lucida Sans Unicode" w:hAnsi="Calibri"/>
          <w:kern w:val="2"/>
        </w:rPr>
        <w:t xml:space="preserve"> de </w:t>
      </w:r>
      <w:r>
        <w:rPr>
          <w:rFonts w:ascii="Calibri" w:eastAsia="Lucida Sans Unicode" w:hAnsi="Calibri"/>
          <w:b/>
          <w:kern w:val="2"/>
        </w:rPr>
        <w:t>PIS</w:t>
      </w:r>
      <w:r>
        <w:rPr>
          <w:rFonts w:ascii="Calibri" w:eastAsia="Lucida Sans Unicode" w:hAnsi="Calibri"/>
          <w:kern w:val="2"/>
        </w:rPr>
        <w:t xml:space="preserve"> e </w:t>
      </w:r>
      <w:r>
        <w:rPr>
          <w:rFonts w:ascii="Calibri" w:eastAsia="Lucida Sans Unicode" w:hAnsi="Calibri"/>
          <w:b/>
          <w:kern w:val="2"/>
        </w:rPr>
        <w:t>COFINS</w:t>
      </w:r>
      <w:r>
        <w:rPr>
          <w:rFonts w:ascii="Calibri" w:eastAsia="Lucida Sans Unicode" w:hAnsi="Calibri"/>
          <w:kern w:val="2"/>
        </w:rPr>
        <w:t xml:space="preserve"> devem cotar </w:t>
      </w:r>
      <w:r>
        <w:rPr>
          <w:rFonts w:ascii="Calibri" w:eastAsia="Lucida Sans Unicode" w:hAnsi="Calibri"/>
          <w:b/>
          <w:kern w:val="2"/>
          <w:u w:val="single"/>
        </w:rPr>
        <w:t>os percentuais que representem a média das alíquotas efetivamente recolhidas nos 12 (doze) meses anteriores à apresentação da proposta</w:t>
      </w:r>
      <w:r>
        <w:rPr>
          <w:rFonts w:ascii="Calibri" w:eastAsia="Lucida Sans Unicode" w:hAnsi="Calibri"/>
          <w:kern w:val="2"/>
        </w:rPr>
        <w:t xml:space="preserve">, tendo em vista que as Leis 10.637/2002 e 10.833/2003, apurada com base nos dados da </w:t>
      </w:r>
      <w:r>
        <w:rPr>
          <w:rFonts w:ascii="Calibri" w:eastAsia="Lucida Sans Unicode" w:hAnsi="Calibri"/>
          <w:b/>
          <w:kern w:val="2"/>
        </w:rPr>
        <w:t>Escrituração Fiscal Digital da Contribuição para o PIS/PASEP e para a COFINS (EFD-Contribuições)</w:t>
      </w:r>
      <w:r>
        <w:rPr>
          <w:rFonts w:ascii="Calibri" w:eastAsia="Lucida Sans Unicode" w:hAnsi="Calibri"/>
          <w:kern w:val="2"/>
        </w:rPr>
        <w:t xml:space="preserve">, cujos respectivos </w:t>
      </w:r>
      <w:r>
        <w:rPr>
          <w:rFonts w:ascii="Calibri" w:eastAsia="Lucida Sans Unicode" w:hAnsi="Calibri"/>
          <w:b/>
          <w:kern w:val="2"/>
          <w:u w:val="single"/>
        </w:rPr>
        <w:t>registros deverão ser remetidos juntamente com a proposta e as planilhas</w:t>
      </w:r>
      <w:r>
        <w:rPr>
          <w:rFonts w:ascii="Calibri" w:eastAsia="Lucida Sans Unicode" w:hAnsi="Calibri"/>
          <w:kern w:val="2"/>
        </w:rPr>
        <w:t>.</w:t>
      </w:r>
    </w:p>
    <w:p w:rsidR="0035251D" w:rsidRDefault="0035251D">
      <w:pPr>
        <w:widowControl w:val="0"/>
        <w:spacing w:line="276" w:lineRule="auto"/>
        <w:ind w:left="708"/>
        <w:rPr>
          <w:rFonts w:ascii="Calibri" w:eastAsia="Lucida Sans Unicode" w:hAnsi="Calibri"/>
          <w:kern w:val="2"/>
        </w:rPr>
      </w:pPr>
    </w:p>
    <w:p w:rsidR="0035251D" w:rsidRDefault="00240C8D">
      <w:pPr>
        <w:widowControl w:val="0"/>
        <w:tabs>
          <w:tab w:val="left" w:pos="1560"/>
        </w:tabs>
        <w:spacing w:line="276" w:lineRule="auto"/>
        <w:jc w:val="both"/>
        <w:rPr>
          <w:rFonts w:ascii="Calibri" w:eastAsia="Lucida Sans Unicode" w:hAnsi="Calibri"/>
          <w:kern w:val="2"/>
        </w:rPr>
      </w:pPr>
      <w:r>
        <w:rPr>
          <w:rFonts w:ascii="Calibri" w:eastAsia="Lucida Sans Unicode" w:hAnsi="Calibri"/>
          <w:kern w:val="2"/>
        </w:rPr>
        <w:t xml:space="preserve">Caso a LICITANTE tenha </w:t>
      </w:r>
      <w:r>
        <w:rPr>
          <w:rFonts w:ascii="Calibri" w:eastAsia="Lucida Sans Unicode" w:hAnsi="Calibri"/>
          <w:b/>
          <w:kern w:val="2"/>
        </w:rPr>
        <w:t>recolhido tributos pelo regime de incidência não-cumulativa</w:t>
      </w:r>
      <w:r>
        <w:rPr>
          <w:rFonts w:ascii="Calibri" w:eastAsia="Lucida Sans Unicode" w:hAnsi="Calibri"/>
          <w:kern w:val="2"/>
        </w:rPr>
        <w:t xml:space="preserve"> em apenas </w:t>
      </w:r>
      <w:r>
        <w:rPr>
          <w:rFonts w:ascii="Calibri" w:eastAsia="Lucida Sans Unicode" w:hAnsi="Calibri"/>
          <w:b/>
          <w:kern w:val="2"/>
        </w:rPr>
        <w:t>alguns meses do período que deve ser considerado para o cálculo do percentual médio efetivo</w:t>
      </w:r>
      <w:r>
        <w:rPr>
          <w:rFonts w:ascii="Calibri" w:eastAsia="Lucida Sans Unicode" w:hAnsi="Calibri"/>
          <w:kern w:val="2"/>
        </w:rPr>
        <w:t xml:space="preserve"> (12 meses anteriores à data da proposta), poderá apresentar o cálculo </w:t>
      </w:r>
      <w:r>
        <w:rPr>
          <w:rFonts w:ascii="Calibri" w:eastAsia="Lucida Sans Unicode" w:hAnsi="Calibri"/>
          <w:b/>
          <w:kern w:val="2"/>
        </w:rPr>
        <w:t>considerando apenas os meses em que houve recolhimento</w:t>
      </w:r>
      <w:r>
        <w:rPr>
          <w:rFonts w:ascii="Calibri" w:eastAsia="Lucida Sans Unicode" w:hAnsi="Calibri"/>
          <w:kern w:val="2"/>
        </w:rPr>
        <w:t>.</w:t>
      </w:r>
    </w:p>
    <w:p w:rsidR="0035251D" w:rsidRDefault="0035251D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35251D" w:rsidRDefault="0035251D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35251D" w:rsidRDefault="0035251D">
      <w:pPr>
        <w:rPr>
          <w:rFonts w:ascii="Calibri" w:eastAsiaTheme="minorHAnsi" w:hAnsi="Calibri" w:cs="Arial"/>
          <w:lang w:eastAsia="en-US"/>
        </w:rPr>
      </w:pPr>
    </w:p>
    <w:p w:rsidR="0035251D" w:rsidRDefault="0035251D">
      <w:pPr>
        <w:shd w:val="clear" w:color="auto" w:fill="FFFFFF" w:themeFill="background1"/>
        <w:spacing w:line="276" w:lineRule="auto"/>
        <w:jc w:val="both"/>
        <w:rPr>
          <w:rFonts w:asciiTheme="minorHAnsi" w:hAnsiTheme="minorHAnsi" w:cs="Arial"/>
        </w:rPr>
      </w:pPr>
    </w:p>
    <w:p w:rsidR="0035251D" w:rsidRDefault="0035251D"/>
    <w:sectPr w:rsidR="0035251D">
      <w:headerReference w:type="default" r:id="rId14"/>
      <w:pgSz w:w="11906" w:h="16838"/>
      <w:pgMar w:top="1417" w:right="1274" w:bottom="1417" w:left="1418" w:header="708" w:footer="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8D" w:rsidRDefault="00240C8D">
      <w:r>
        <w:separator/>
      </w:r>
    </w:p>
  </w:endnote>
  <w:endnote w:type="continuationSeparator" w:id="0">
    <w:p w:rsidR="00240C8D" w:rsidRDefault="0024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8D" w:rsidRDefault="00240C8D">
      <w:r>
        <w:separator/>
      </w:r>
    </w:p>
  </w:footnote>
  <w:footnote w:type="continuationSeparator" w:id="0">
    <w:p w:rsidR="00240C8D" w:rsidRDefault="00240C8D">
      <w:r>
        <w:continuationSeparator/>
      </w:r>
    </w:p>
  </w:footnote>
  <w:footnote w:id="1">
    <w:p w:rsidR="00240C8D" w:rsidRDefault="00240C8D">
      <w:pPr>
        <w:pStyle w:val="Textodenotaderodap"/>
      </w:pPr>
      <w:r>
        <w:rPr>
          <w:rStyle w:val="Caracteresdenotaderodap"/>
        </w:rPr>
        <w:footnoteRef/>
      </w:r>
      <w:r>
        <w:t xml:space="preserve"> Considerando a alíquota de 3% para o RAT. CNAE </w:t>
      </w:r>
      <w:r>
        <w:rPr>
          <w:shd w:val="clear" w:color="auto" w:fill="FFFFFF"/>
        </w:rPr>
        <w:t>5620-1/01 – Preparação de refeições.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3810</wp:posOffset>
          </wp:positionV>
          <wp:extent cx="838200" cy="333375"/>
          <wp:effectExtent l="0" t="0" r="0" b="0"/>
          <wp:wrapNone/>
          <wp:docPr id="9" name="Imagem 1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BRASAO UFF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23069.003138/2019-90</w:t>
    </w:r>
  </w:p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Fls</w:t>
    </w:r>
    <w:proofErr w:type="gramStart"/>
    <w:r>
      <w:rPr>
        <w:rFonts w:asciiTheme="minorHAnsi" w:hAnsiTheme="minorHAnsi"/>
        <w:sz w:val="16"/>
        <w:szCs w:val="16"/>
      </w:rPr>
      <w:t>.:_</w:t>
    </w:r>
    <w:proofErr w:type="gramEnd"/>
    <w:r>
      <w:rPr>
        <w:rFonts w:asciiTheme="minorHAnsi" w:hAnsiTheme="minorHAnsi"/>
        <w:sz w:val="16"/>
        <w:szCs w:val="16"/>
      </w:rPr>
      <w:t>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-335915</wp:posOffset>
          </wp:positionH>
          <wp:positionV relativeFrom="paragraph">
            <wp:posOffset>3810</wp:posOffset>
          </wp:positionV>
          <wp:extent cx="838200" cy="333375"/>
          <wp:effectExtent l="0" t="0" r="0" b="0"/>
          <wp:wrapNone/>
          <wp:docPr id="10" name="Imagem 10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BRASAO UFF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 003138/2019-90</w:t>
    </w:r>
  </w:p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Pag</w:t>
    </w:r>
    <w:proofErr w:type="gramStart"/>
    <w:r>
      <w:rPr>
        <w:rFonts w:asciiTheme="minorHAnsi" w:hAnsiTheme="minorHAnsi"/>
        <w:sz w:val="16"/>
        <w:szCs w:val="16"/>
      </w:rPr>
      <w:t>.:_</w:t>
    </w:r>
    <w:proofErr w:type="gramEnd"/>
    <w:r>
      <w:rPr>
        <w:rFonts w:asciiTheme="minorHAnsi" w:hAnsiTheme="minorHAnsi"/>
        <w:sz w:val="16"/>
        <w:szCs w:val="16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noProof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-305435</wp:posOffset>
          </wp:positionH>
          <wp:positionV relativeFrom="paragraph">
            <wp:posOffset>-57150</wp:posOffset>
          </wp:positionV>
          <wp:extent cx="838200" cy="333375"/>
          <wp:effectExtent l="0" t="0" r="0" b="0"/>
          <wp:wrapNone/>
          <wp:docPr id="11" name="Imagem 2" descr="BRASAO U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" descr="BRASAO UFF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Processo: 23069. 003138/2019-90</w:t>
    </w:r>
  </w:p>
  <w:p w:rsidR="00240C8D" w:rsidRDefault="00240C8D">
    <w:pPr>
      <w:pStyle w:val="Cabealho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Pag</w:t>
    </w:r>
    <w:proofErr w:type="gramStart"/>
    <w:r>
      <w:rPr>
        <w:rFonts w:asciiTheme="minorHAnsi" w:hAnsiTheme="minorHAnsi"/>
        <w:sz w:val="16"/>
        <w:szCs w:val="16"/>
      </w:rPr>
      <w:t>.:_</w:t>
    </w:r>
    <w:proofErr w:type="gramEnd"/>
    <w:r>
      <w:rPr>
        <w:rFonts w:asciiTheme="minorHAnsi" w:hAnsiTheme="minorHAnsi"/>
        <w:sz w:val="16"/>
        <w:szCs w:val="16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62C"/>
    <w:multiLevelType w:val="multilevel"/>
    <w:tmpl w:val="0F6CEDBE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A91F7F"/>
    <w:multiLevelType w:val="multilevel"/>
    <w:tmpl w:val="0B309AE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5D6C"/>
    <w:multiLevelType w:val="multilevel"/>
    <w:tmpl w:val="89D2D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1D"/>
    <w:rsid w:val="00240C8D"/>
    <w:rsid w:val="002F73F4"/>
    <w:rsid w:val="003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299F"/>
  <w15:docId w15:val="{D9D09671-C25B-43CC-94C9-8C5D9847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A36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1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6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AD6A36"/>
    <w:pPr>
      <w:keepNext/>
      <w:jc w:val="center"/>
      <w:outlineLvl w:val="6"/>
    </w:pPr>
    <w:rPr>
      <w:rFonts w:ascii="Arial" w:hAnsi="Arial"/>
      <w:b/>
      <w:sz w:val="28"/>
      <w:u w:val="sing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qFormat/>
    <w:rsid w:val="00AD6A36"/>
    <w:rPr>
      <w:rFonts w:ascii="Arial" w:eastAsia="Times New Roman" w:hAnsi="Arial" w:cs="Times New Roman"/>
      <w:b/>
      <w:sz w:val="28"/>
      <w:szCs w:val="20"/>
      <w:u w:val="single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AD6A36"/>
    <w:rPr>
      <w:rFonts w:ascii="Arial" w:eastAsia="Times New Roman" w:hAnsi="Arial" w:cs="Times New Roman"/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D6A3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AD6A3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E51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Fontepargpadro6">
    <w:name w:val="Fonte parág. padrão6"/>
    <w:qFormat/>
    <w:rsid w:val="00E5179A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64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456441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E81B5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81B5F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C6909"/>
    <w:rPr>
      <w:color w:val="0000FF"/>
      <w:u w:val="single"/>
    </w:rPr>
  </w:style>
  <w:style w:type="character" w:customStyle="1" w:styleId="qtip-link">
    <w:name w:val="qtip-link"/>
    <w:basedOn w:val="Fontepargpadro"/>
    <w:qFormat/>
    <w:rsid w:val="00EF1583"/>
  </w:style>
  <w:style w:type="character" w:styleId="Refdecomentrio">
    <w:name w:val="annotation reference"/>
    <w:basedOn w:val="Fontepargpadro"/>
    <w:uiPriority w:val="99"/>
    <w:semiHidden/>
    <w:unhideWhenUsed/>
    <w:qFormat/>
    <w:rsid w:val="00F14B8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14B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14B8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7892110431564642023ttulo2char">
    <w:name w:val="m_7892110431564642023ttulo2char"/>
    <w:basedOn w:val="Fontepargpadro"/>
    <w:qFormat/>
    <w:rsid w:val="00DA6A1C"/>
  </w:style>
  <w:style w:type="character" w:customStyle="1" w:styleId="WW8Num5z3">
    <w:name w:val="WW8Num5z3"/>
    <w:qFormat/>
    <w:rsid w:val="00891E6F"/>
    <w:rPr>
      <w:rFonts w:ascii="Symbol" w:hAnsi="Symbol" w:cs="Symbol"/>
    </w:rPr>
  </w:style>
  <w:style w:type="character" w:customStyle="1" w:styleId="WW8Num5z4">
    <w:name w:val="WW8Num5z4"/>
    <w:qFormat/>
    <w:rsid w:val="00891E6F"/>
    <w:rPr>
      <w:rFonts w:ascii="Courier New" w:hAnsi="Courier New" w:cs="Courier New"/>
    </w:rPr>
  </w:style>
  <w:style w:type="character" w:customStyle="1" w:styleId="WW8Num6z0">
    <w:name w:val="WW8Num6z0"/>
    <w:qFormat/>
    <w:rsid w:val="00891E6F"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C13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C133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201A2C"/>
    <w:rPr>
      <w:color w:val="800080" w:themeColor="followed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aPrinc">
    <w:name w:val="ParaPrinc"/>
    <w:basedOn w:val="Normal"/>
    <w:qFormat/>
    <w:rsid w:val="00AD6A36"/>
    <w:pPr>
      <w:widowControl w:val="0"/>
      <w:snapToGrid w:val="0"/>
      <w:jc w:val="both"/>
    </w:pPr>
    <w:rPr>
      <w:rFonts w:ascii="Book Antiqua" w:hAnsi="Book Antiqua"/>
      <w:sz w:val="24"/>
      <w:lang w:val="en-AU"/>
    </w:rPr>
  </w:style>
  <w:style w:type="paragraph" w:styleId="Recuodecorpodetexto">
    <w:name w:val="Body Text Indent"/>
    <w:basedOn w:val="Normal"/>
    <w:link w:val="RecuodecorpodetextoChar"/>
    <w:rsid w:val="00AD6A36"/>
    <w:pPr>
      <w:ind w:left="426" w:hanging="426"/>
    </w:pPr>
  </w:style>
  <w:style w:type="paragraph" w:customStyle="1" w:styleId="Default">
    <w:name w:val="Default"/>
    <w:qFormat/>
    <w:rsid w:val="00AD6A36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AD6A36"/>
    <w:pPr>
      <w:ind w:left="3686"/>
      <w:jc w:val="both"/>
    </w:pPr>
    <w:rPr>
      <w:rFonts w:ascii="Arial" w:hAnsi="Arial"/>
      <w:b/>
    </w:rPr>
  </w:style>
  <w:style w:type="paragraph" w:customStyle="1" w:styleId="WW-Recuodecorpodetexto2">
    <w:name w:val="WW-Recuo de corpo de texto 2"/>
    <w:basedOn w:val="Normal"/>
    <w:qFormat/>
    <w:rsid w:val="00AD6A36"/>
    <w:pPr>
      <w:suppressAutoHyphens/>
      <w:ind w:firstLine="708"/>
      <w:jc w:val="both"/>
    </w:pPr>
    <w:rPr>
      <w:b/>
    </w:rPr>
  </w:style>
  <w:style w:type="paragraph" w:customStyle="1" w:styleId="Contrato">
    <w:name w:val="Contrato"/>
    <w:basedOn w:val="Normal"/>
    <w:qFormat/>
    <w:rsid w:val="00AD6A36"/>
    <w:pPr>
      <w:spacing w:after="240"/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6A36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D6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D6A3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46244"/>
    <w:pPr>
      <w:ind w:left="720"/>
      <w:contextualSpacing/>
    </w:pPr>
  </w:style>
  <w:style w:type="paragraph" w:customStyle="1" w:styleId="PargrafodaLista1">
    <w:name w:val="Parágrafo da Lista1"/>
    <w:basedOn w:val="Normal"/>
    <w:qFormat/>
    <w:rsid w:val="00E5179A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A010165">
    <w:name w:val="_A010165"/>
    <w:qFormat/>
    <w:rsid w:val="007E6022"/>
    <w:pPr>
      <w:tabs>
        <w:tab w:val="left" w:pos="937"/>
      </w:tabs>
      <w:suppressAutoHyphens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56441"/>
    <w:pPr>
      <w:spacing w:beforeAutospacing="1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875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rtejustify">
    <w:name w:val="rtejustify"/>
    <w:basedOn w:val="Normal"/>
    <w:qFormat/>
    <w:rsid w:val="00E81B5F"/>
    <w:pPr>
      <w:spacing w:beforeAutospacing="1" w:afterAutospacing="1"/>
    </w:pPr>
    <w:rPr>
      <w:sz w:val="24"/>
      <w:szCs w:val="24"/>
    </w:rPr>
  </w:style>
  <w:style w:type="paragraph" w:customStyle="1" w:styleId="rtecenter">
    <w:name w:val="rtecenter"/>
    <w:basedOn w:val="Normal"/>
    <w:qFormat/>
    <w:rsid w:val="00E81B5F"/>
    <w:pPr>
      <w:spacing w:beforeAutospacing="1" w:afterAutospacing="1"/>
    </w:pPr>
    <w:rPr>
      <w:sz w:val="24"/>
      <w:szCs w:val="24"/>
    </w:rPr>
  </w:style>
  <w:style w:type="paragraph" w:customStyle="1" w:styleId="rteindent1">
    <w:name w:val="rteindent1"/>
    <w:basedOn w:val="Normal"/>
    <w:qFormat/>
    <w:rsid w:val="00E81B5F"/>
    <w:pPr>
      <w:spacing w:beforeAutospacing="1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14B8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14B80"/>
    <w:rPr>
      <w:b/>
      <w:bCs/>
    </w:rPr>
  </w:style>
  <w:style w:type="paragraph" w:customStyle="1" w:styleId="textojustificado">
    <w:name w:val="texto_justificado"/>
    <w:basedOn w:val="Normal"/>
    <w:qFormat/>
    <w:rsid w:val="006E4D8E"/>
    <w:pPr>
      <w:spacing w:beforeAutospacing="1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133E"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9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31">
    <w:name w:val="Tabela de Grade 4 - Ênfase 31"/>
    <w:basedOn w:val="Tabelanormal"/>
    <w:uiPriority w:val="49"/>
    <w:rsid w:val="002028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6D6FB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3672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ciadenoticias.ibge.gov.br/agencia-sala-de-imprensa/2013-agencia-de-noticias/releases/21837-projecao-da-populacao-2018-numero-de-habitantes-do-pais-deve-parar-de-crescer-em-20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bge.gov.br/apps/populacao/projec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ge.gov.br/apps/populacao/projecao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D422-7D7A-4ED1-89FB-4D1A23C6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3122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bteixeira</dc:creator>
  <dc:description/>
  <cp:lastModifiedBy>Fabio</cp:lastModifiedBy>
  <cp:revision>5</cp:revision>
  <cp:lastPrinted>2019-08-09T19:26:00Z</cp:lastPrinted>
  <dcterms:created xsi:type="dcterms:W3CDTF">2019-11-14T22:56:00Z</dcterms:created>
  <dcterms:modified xsi:type="dcterms:W3CDTF">2020-01-15T20:03:00Z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