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png" ContentType="image/png"/>
  <Override PartName="/word/media/image2.wmf" ContentType="image/x-wmf"/>
  <Override PartName="/word/media/image4.png" ContentType="image/png"/>
  <Override PartName="/word/media/image3.wmf" ContentType="image/x-wm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cs="Arial" w:asciiTheme="minorHAnsi" w:hAnsiTheme="minorHAnsi"/>
          <w:b/>
          <w:b/>
          <w:sz w:val="16"/>
          <w:szCs w:val="16"/>
        </w:rPr>
      </w:pPr>
      <w:r>
        <w:drawing>
          <wp:anchor behindDoc="0" distT="0" distB="0" distL="0" distR="0" simplePos="0" locked="0" layoutInCell="1" allowOverlap="1" relativeHeight="14">
            <wp:simplePos x="0" y="0"/>
            <wp:positionH relativeFrom="column">
              <wp:posOffset>2571750</wp:posOffset>
            </wp:positionH>
            <wp:positionV relativeFrom="paragraph">
              <wp:posOffset>635</wp:posOffset>
            </wp:positionV>
            <wp:extent cx="640080" cy="619125"/>
            <wp:effectExtent l="0" t="0" r="0" b="0"/>
            <wp:wrapNone/>
            <wp:docPr id="1" name="Imagem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8" descr=""/>
                    <pic:cNvPicPr>
                      <a:picLocks noChangeAspect="1" noChangeArrowheads="1"/>
                    </pic:cNvPicPr>
                  </pic:nvPicPr>
                  <pic:blipFill>
                    <a:blip r:embed="rId2"/>
                    <a:stretch>
                      <a:fillRect/>
                    </a:stretch>
                  </pic:blipFill>
                  <pic:spPr bwMode="auto">
                    <a:xfrm>
                      <a:off x="0" y="0"/>
                      <a:ext cx="640080" cy="619125"/>
                    </a:xfrm>
                    <a:prstGeom prst="rect">
                      <a:avLst/>
                    </a:prstGeom>
                  </pic:spPr>
                </pic:pic>
              </a:graphicData>
            </a:graphic>
          </wp:anchor>
        </w:drawing>
      </w:r>
      <w:r>
        <w:rPr>
          <w:rFonts w:cs="Arial" w:ascii="Calibri" w:hAnsi="Calibri" w:asciiTheme="minorHAnsi" w:hAnsiTheme="minorHAnsi"/>
          <w:b/>
          <w:sz w:val="16"/>
          <w:szCs w:val="16"/>
        </w:rPr>
        <w:t xml:space="preserve"> </w:t>
      </w:r>
      <w:r>
        <w:rPr>
          <w:rFonts w:cs="Arial" w:ascii="Calibri" w:hAnsi="Calibri" w:asciiTheme="minorHAnsi" w:hAnsiTheme="minorHAnsi"/>
          <w:b/>
          <w:sz w:val="16"/>
          <w:szCs w:val="16"/>
        </w:rPr>
        <w:t xml:space="preserve">   </w:t>
      </w:r>
      <w:r>
        <w:rPr>
          <w:rFonts w:cs="Arial" w:ascii="Calibri" w:hAnsi="Calibri" w:asciiTheme="minorHAnsi" w:hAnsiTheme="minorHAnsi"/>
          <w:b/>
          <w:sz w:val="16"/>
          <w:szCs w:val="16"/>
        </w:rPr>
        <w:br/>
      </w:r>
    </w:p>
    <w:p>
      <w:pPr>
        <w:pStyle w:val="Normal"/>
        <w:jc w:val="center"/>
        <w:rPr>
          <w:rFonts w:ascii="Calibri" w:hAnsi="Calibri" w:cs="Arial" w:asciiTheme="minorHAnsi" w:hAnsiTheme="minorHAnsi"/>
          <w:sz w:val="16"/>
          <w:szCs w:val="16"/>
        </w:rPr>
      </w:pPr>
      <w:r>
        <w:rPr>
          <w:rFonts w:cs="Arial" w:ascii="Calibri" w:hAnsi="Calibri"/>
          <w:sz w:val="16"/>
          <w:szCs w:val="16"/>
        </w:rPr>
      </w:r>
    </w:p>
    <w:p>
      <w:pPr>
        <w:pStyle w:val="Normal"/>
        <w:jc w:val="center"/>
        <w:rPr>
          <w:rFonts w:ascii="Calibri" w:hAnsi="Calibri" w:cs="Arial" w:asciiTheme="minorHAnsi" w:hAnsiTheme="minorHAnsi"/>
          <w:sz w:val="16"/>
          <w:szCs w:val="16"/>
        </w:rPr>
      </w:pPr>
      <w:r>
        <w:rPr>
          <w:rFonts w:cs="Arial" w:ascii="Calibri" w:hAnsi="Calibri"/>
          <w:sz w:val="16"/>
          <w:szCs w:val="16"/>
        </w:rPr>
      </w:r>
    </w:p>
    <w:p>
      <w:pPr>
        <w:pStyle w:val="Normal"/>
        <w:jc w:val="center"/>
        <w:rPr>
          <w:rFonts w:ascii="Calibri" w:hAnsi="Calibri" w:cs="Arial" w:asciiTheme="minorHAnsi" w:hAnsiTheme="minorHAnsi"/>
          <w:sz w:val="16"/>
          <w:szCs w:val="16"/>
        </w:rPr>
      </w:pPr>
      <w:r>
        <w:rPr>
          <w:rFonts w:cs="Arial" w:ascii="Calibri" w:hAnsi="Calibri"/>
          <w:sz w:val="16"/>
          <w:szCs w:val="16"/>
        </w:rPr>
      </w:r>
    </w:p>
    <w:p>
      <w:pPr>
        <w:pStyle w:val="Normal"/>
        <w:jc w:val="center"/>
        <w:rPr>
          <w:rFonts w:ascii="Calibri" w:hAnsi="Calibri" w:cs="Arial" w:asciiTheme="minorHAnsi" w:hAnsiTheme="minorHAnsi"/>
          <w:sz w:val="16"/>
          <w:szCs w:val="16"/>
        </w:rPr>
      </w:pPr>
      <w:r>
        <w:rPr>
          <w:rFonts w:cs="Arial" w:ascii="Calibri" w:hAnsi="Calibri"/>
          <w:sz w:val="16"/>
          <w:szCs w:val="16"/>
        </w:rPr>
      </w:r>
    </w:p>
    <w:p>
      <w:pPr>
        <w:pStyle w:val="Normal"/>
        <w:tabs>
          <w:tab w:val="clear" w:pos="708"/>
          <w:tab w:val="left" w:pos="6284" w:leader="none"/>
        </w:tabs>
        <w:jc w:val="center"/>
        <w:rPr>
          <w:rFonts w:ascii="Calibri" w:hAnsi="Calibri" w:cs="Calibri" w:asciiTheme="minorHAnsi" w:cstheme="minorHAnsi" w:hAnsiTheme="minorHAnsi"/>
          <w:b/>
          <w:b/>
          <w:bCs/>
        </w:rPr>
      </w:pPr>
      <w:r>
        <w:rPr>
          <w:rFonts w:cs="Calibri" w:ascii="Calibri" w:hAnsi="Calibri" w:asciiTheme="minorHAnsi" w:cstheme="minorHAnsi" w:hAnsiTheme="minorHAnsi"/>
          <w:b/>
          <w:bCs/>
        </w:rPr>
        <w:t>MINISTÉRIO DA EDUCAÇÃO</w:t>
      </w:r>
    </w:p>
    <w:p>
      <w:pPr>
        <w:pStyle w:val="Ttulo1"/>
        <w:spacing w:before="0" w:after="0"/>
        <w:jc w:val="center"/>
        <w:rPr>
          <w:rFonts w:ascii="Calibri" w:hAnsi="Calibri" w:cs="Calibri" w:asciiTheme="minorHAnsi" w:cstheme="minorHAnsi" w:hAnsiTheme="minorHAnsi"/>
          <w:b w:val="false"/>
          <w:b w:val="false"/>
          <w:color w:val="auto"/>
          <w:sz w:val="20"/>
          <w:szCs w:val="20"/>
        </w:rPr>
      </w:pPr>
      <w:r>
        <w:rPr>
          <w:rFonts w:cs="Calibri" w:ascii="Calibri" w:hAnsi="Calibri" w:asciiTheme="minorHAnsi" w:cstheme="minorHAnsi" w:hAnsiTheme="minorHAnsi"/>
          <w:color w:val="auto"/>
          <w:sz w:val="20"/>
          <w:szCs w:val="20"/>
        </w:rPr>
        <w:t>UNIVERSIDADE FEDERAL FLUMINENSE</w:t>
      </w:r>
    </w:p>
    <w:p>
      <w:pPr>
        <w:pStyle w:val="Normal"/>
        <w:jc w:val="center"/>
        <w:rPr>
          <w:rFonts w:ascii="Calibri" w:hAnsi="Calibri" w:cs="Calibri" w:asciiTheme="minorHAnsi" w:cstheme="minorHAnsi" w:hAnsiTheme="minorHAnsi"/>
          <w:b/>
          <w:b/>
        </w:rPr>
      </w:pPr>
      <w:r>
        <w:rPr>
          <w:rFonts w:cs="Calibri" w:ascii="Calibri" w:hAnsi="Calibri" w:asciiTheme="minorHAnsi" w:cstheme="minorHAnsi" w:hAnsiTheme="minorHAnsi"/>
          <w:b/>
        </w:rPr>
        <w:t>PRO REITORIA DE ADMINISTRAÇÃO</w:t>
      </w:r>
    </w:p>
    <w:p>
      <w:pPr>
        <w:pStyle w:val="Default"/>
        <w:rPr>
          <w:rFonts w:ascii="Calibri" w:hAnsi="Calibri" w:asciiTheme="minorHAnsi" w:hAnsiTheme="minorHAnsi"/>
          <w:b/>
          <w:b/>
          <w:sz w:val="16"/>
          <w:szCs w:val="16"/>
        </w:rPr>
      </w:pPr>
      <w:r>
        <w:rPr>
          <w:rFonts w:asciiTheme="minorHAnsi" w:hAnsiTheme="minorHAnsi" w:ascii="Calibri" w:hAnsi="Calibri"/>
          <w:b/>
          <w:sz w:val="16"/>
          <w:szCs w:val="16"/>
        </w:rPr>
      </w:r>
    </w:p>
    <w:p>
      <w:pPr>
        <w:pStyle w:val="Normal"/>
        <w:jc w:val="center"/>
        <w:rPr>
          <w:rFonts w:ascii="Calibri" w:hAnsi="Calibri" w:cs="Calibri" w:asciiTheme="minorHAnsi" w:cstheme="minorHAnsi" w:hAnsiTheme="minorHAnsi"/>
          <w:b/>
          <w:b/>
        </w:rPr>
      </w:pPr>
      <w:r>
        <w:rPr>
          <w:rFonts w:cs="Calibri" w:ascii="Calibri" w:hAnsi="Calibri" w:asciiTheme="minorHAnsi" w:cstheme="minorHAnsi" w:hAnsiTheme="minorHAnsi"/>
          <w:b/>
        </w:rPr>
        <w:t xml:space="preserve">PREGÃO ELETRÔNICO Nº </w:t>
      </w:r>
      <w:r>
        <w:rPr>
          <w:rFonts w:cs="Calibri" w:ascii="Calibri" w:hAnsi="Calibri" w:asciiTheme="minorHAnsi" w:cstheme="minorHAnsi" w:hAnsiTheme="minorHAnsi"/>
          <w:b/>
        </w:rPr>
        <w:t>12</w:t>
      </w:r>
      <w:r>
        <w:rPr>
          <w:rFonts w:cs="Calibri" w:ascii="Calibri" w:hAnsi="Calibri" w:asciiTheme="minorHAnsi" w:cstheme="minorHAnsi" w:hAnsiTheme="minorHAnsi"/>
          <w:b/>
        </w:rPr>
        <w:t>/2020</w:t>
      </w:r>
    </w:p>
    <w:p>
      <w:pPr>
        <w:pStyle w:val="Default"/>
        <w:rPr>
          <w:rFonts w:ascii="Calibri" w:hAnsi="Calibri" w:asciiTheme="minorHAnsi" w:hAnsiTheme="minorHAnsi"/>
          <w:b/>
          <w:b/>
          <w:sz w:val="16"/>
          <w:szCs w:val="16"/>
        </w:rPr>
      </w:pPr>
      <w:r>
        <w:rPr>
          <w:rFonts w:asciiTheme="minorHAnsi" w:hAnsiTheme="minorHAnsi" w:ascii="Calibri" w:hAnsi="Calibri"/>
          <w:b/>
          <w:sz w:val="16"/>
          <w:szCs w:val="16"/>
        </w:rPr>
      </w:r>
    </w:p>
    <w:p>
      <w:pPr>
        <w:pStyle w:val="Ttulo7"/>
        <w:rPr>
          <w:rFonts w:ascii="Calibri" w:hAnsi="Calibri" w:cs="Arial" w:asciiTheme="minorHAnsi" w:hAnsiTheme="minorHAnsi"/>
          <w:sz w:val="22"/>
          <w:szCs w:val="22"/>
          <w:u w:val="none"/>
        </w:rPr>
      </w:pPr>
      <w:r>
        <w:rPr>
          <w:rFonts w:cs="Arial" w:ascii="Calibri" w:hAnsi="Calibri" w:asciiTheme="minorHAnsi" w:hAnsiTheme="minorHAnsi"/>
          <w:sz w:val="22"/>
          <w:szCs w:val="22"/>
          <w:u w:val="none"/>
        </w:rPr>
        <w:t>ANEXO  III-B DO EDITAL</w:t>
      </w:r>
    </w:p>
    <w:p>
      <w:pPr>
        <w:pStyle w:val="Ttulo7"/>
        <w:rPr>
          <w:rFonts w:ascii="Calibri" w:hAnsi="Calibri" w:cs="Arial" w:asciiTheme="minorHAnsi" w:hAnsiTheme="minorHAnsi"/>
          <w:sz w:val="16"/>
          <w:szCs w:val="16"/>
        </w:rPr>
      </w:pPr>
      <w:r>
        <w:rPr>
          <w:rFonts w:cs="Arial" w:ascii="Calibri" w:hAnsi="Calibri"/>
          <w:sz w:val="16"/>
          <w:szCs w:val="16"/>
        </w:rPr>
      </w:r>
    </w:p>
    <w:p>
      <w:pPr>
        <w:pStyle w:val="Ttulo7"/>
        <w:rPr>
          <w:rFonts w:ascii="Calibri" w:hAnsi="Calibri" w:cs="Arial" w:asciiTheme="minorHAnsi" w:hAnsiTheme="minorHAnsi"/>
          <w:sz w:val="20"/>
        </w:rPr>
      </w:pPr>
      <w:r>
        <w:rPr>
          <w:rFonts w:cs="Arial" w:ascii="Calibri" w:hAnsi="Calibri" w:asciiTheme="minorHAnsi" w:hAnsiTheme="minorHAnsi"/>
          <w:sz w:val="20"/>
        </w:rPr>
        <w:t>MEMÓRIA DE CÁLCULO DA PLANILHA DE CUSTO E FORMAÇÃO DE PREÇO</w:t>
      </w:r>
    </w:p>
    <w:p>
      <w:pPr>
        <w:pStyle w:val="Normal"/>
        <w:rPr>
          <w:rFonts w:ascii="Calibri" w:hAnsi="Calibri" w:cs="Arial" w:asciiTheme="minorHAnsi" w:hAnsiTheme="minorHAnsi"/>
          <w:sz w:val="16"/>
          <w:szCs w:val="16"/>
          <w:lang w:val="pt-PT"/>
        </w:rPr>
      </w:pPr>
      <w:r>
        <w:rPr>
          <w:rFonts w:cs="Arial" w:ascii="Calibri" w:hAnsi="Calibri"/>
          <w:sz w:val="16"/>
          <w:szCs w:val="16"/>
          <w:lang w:val="pt-PT"/>
        </w:rPr>
      </w:r>
    </w:p>
    <w:p>
      <w:pPr>
        <w:pStyle w:val="Normal"/>
        <w:rPr>
          <w:rFonts w:ascii="Calibri" w:hAnsi="Calibri" w:cs="Arial" w:asciiTheme="minorHAnsi" w:hAnsiTheme="minorHAnsi"/>
          <w:b/>
          <w:b/>
          <w:sz w:val="16"/>
          <w:szCs w:val="16"/>
          <w:u w:val="single"/>
          <w:lang w:val="pt-PT"/>
        </w:rPr>
      </w:pPr>
      <w:r>
        <w:rPr>
          <w:rFonts w:cs="Arial" w:ascii="Calibri" w:hAnsi="Calibri"/>
          <w:b/>
          <w:sz w:val="16"/>
          <w:szCs w:val="16"/>
          <w:u w:val="single"/>
          <w:lang w:val="pt-PT"/>
        </w:rPr>
      </w:r>
    </w:p>
    <w:p>
      <w:pPr>
        <w:pStyle w:val="A010165"/>
        <w:rPr>
          <w:rFonts w:ascii="Calibri" w:hAnsi="Calibri" w:cs="Arial"/>
          <w:b/>
          <w:b/>
          <w:i/>
          <w:i/>
        </w:rPr>
      </w:pPr>
      <w:r>
        <w:rPr>
          <w:rFonts w:cs="Arial" w:ascii="Calibri" w:hAnsi="Calibri"/>
          <w:b/>
          <w:i/>
        </w:rPr>
        <w:t>A empresa deverá declarar em qual REGIME DE TRIBUTAÇÃO se enquadra, e não poderá se beneficiar da condição de optante pelo Simples Nacional, salvo as exceções previstas no § 5º-C do art. 18 da Lei Complementar nº 123, de 14 de dezembro de 2006; pois se caso vencedora será obrigatória à exclusão desse regime, logo os custos atribuídos a esta prestação de serviço, com cessão de mão de obra deverão estar corretamente previstos.</w:t>
      </w:r>
    </w:p>
    <w:p>
      <w:pPr>
        <w:pStyle w:val="Default"/>
        <w:jc w:val="both"/>
        <w:rPr>
          <w:rFonts w:ascii="Calibri" w:hAnsi="Calibri"/>
          <w:bCs/>
          <w:color w:val="auto"/>
          <w:sz w:val="20"/>
          <w:szCs w:val="20"/>
        </w:rPr>
      </w:pPr>
      <w:r>
        <w:rPr>
          <w:rFonts w:ascii="Calibri" w:hAnsi="Calibri"/>
          <w:bCs/>
          <w:color w:val="auto"/>
          <w:sz w:val="20"/>
          <w:szCs w:val="20"/>
        </w:rPr>
      </w:r>
    </w:p>
    <w:p>
      <w:pPr>
        <w:pStyle w:val="Default"/>
        <w:jc w:val="both"/>
        <w:rPr>
          <w:rFonts w:ascii="Calibri" w:hAnsi="Calibri"/>
          <w:b/>
          <w:b/>
          <w:u w:val="single"/>
        </w:rPr>
      </w:pPr>
      <w:r>
        <w:rPr>
          <w:rFonts w:ascii="Calibri" w:hAnsi="Calibri"/>
          <w:b/>
          <w:u w:val="single"/>
        </w:rPr>
      </w:r>
    </w:p>
    <w:p>
      <w:pPr>
        <w:pStyle w:val="Normal"/>
        <w:rPr>
          <w:rFonts w:ascii="Calibri" w:hAnsi="Calibri" w:cs="Arial"/>
          <w:b/>
          <w:b/>
          <w:u w:val="single"/>
          <w:lang w:val="pt-PT"/>
        </w:rPr>
      </w:pPr>
      <w:r>
        <w:rPr>
          <w:rFonts w:cs="Arial" w:ascii="Calibri" w:hAnsi="Calibri"/>
          <w:b/>
          <w:u w:val="single"/>
          <w:lang w:val="pt-PT"/>
        </w:rPr>
        <w:t>Módulo 1 – Composição da Remuneração</w:t>
      </w:r>
    </w:p>
    <w:p>
      <w:pPr>
        <w:pStyle w:val="Normal"/>
        <w:rPr>
          <w:rFonts w:ascii="Calibri" w:hAnsi="Calibri" w:cs="Arial"/>
        </w:rPr>
      </w:pPr>
      <w:r>
        <w:rPr>
          <w:rFonts w:cs="Arial" w:ascii="Calibri" w:hAnsi="Calibri"/>
        </w:rPr>
      </w:r>
    </w:p>
    <w:p>
      <w:pPr>
        <w:pStyle w:val="Normal"/>
        <w:spacing w:lineRule="auto" w:line="276"/>
        <w:jc w:val="both"/>
        <w:rPr>
          <w:rFonts w:ascii="Calibri" w:hAnsi="Calibri" w:cs="Arial"/>
          <w:b/>
          <w:b/>
        </w:rPr>
      </w:pPr>
      <w:r>
        <w:rPr>
          <w:rFonts w:cs="Arial" w:ascii="Calibri" w:hAnsi="Calibri"/>
          <w:b/>
        </w:rPr>
        <w:t xml:space="preserve">A) Salário Base </w:t>
      </w:r>
    </w:p>
    <w:p>
      <w:pPr>
        <w:pStyle w:val="Default"/>
        <w:jc w:val="both"/>
        <w:rPr>
          <w:rStyle w:val="Fontepargpadro6"/>
          <w:rFonts w:ascii="Calibri" w:hAnsi="Calibri"/>
          <w:sz w:val="20"/>
          <w:szCs w:val="20"/>
        </w:rPr>
      </w:pPr>
      <w:r>
        <w:rPr>
          <w:rFonts w:ascii="Calibri" w:hAnsi="Calibri"/>
          <w:sz w:val="20"/>
          <w:szCs w:val="20"/>
        </w:rPr>
      </w:r>
    </w:p>
    <w:p>
      <w:pPr>
        <w:pStyle w:val="Default"/>
        <w:jc w:val="both"/>
        <w:rPr>
          <w:rStyle w:val="Fontepargpadro6"/>
          <w:rFonts w:ascii="Calibri" w:hAnsi="Calibri"/>
          <w:sz w:val="20"/>
          <w:szCs w:val="20"/>
          <w:highlight w:val="yellow"/>
        </w:rPr>
      </w:pPr>
      <w:r>
        <w:rPr>
          <w:rStyle w:val="Fontepargpadro6"/>
          <w:rFonts w:ascii="Calibri" w:hAnsi="Calibri"/>
          <w:sz w:val="20"/>
          <w:szCs w:val="20"/>
        </w:rPr>
        <w:t xml:space="preserve">A empresa deverá indicar qual seu enquadramento sindical, sendo a elaboração de sua proposta de acordo com a convenção coletiva do sindicato relacionado à sua atividade preponderante (Arts. 570, 577 e 581, §2º da CLT, Art. 8º, II, CF e Acórdão TCU 1097/2019, Plenário). Os valores dos salários e benefícios dos profissionais previstos neste Edital foram considerados de acordo com o estabelecido pelo </w:t>
      </w:r>
      <w:r>
        <w:rPr>
          <w:rStyle w:val="Fontepargpadro6"/>
          <w:rFonts w:ascii="Calibri" w:hAnsi="Calibri"/>
          <w:b/>
          <w:sz w:val="20"/>
          <w:szCs w:val="20"/>
        </w:rPr>
        <w:t>SINDICATO DAS EMPRESAS DE SERVICOS TERCEIRIZAVEIS TRABALHO TEMPORARIO LIMPEZA E CONSERVACAO AMBIENTAL DO ESTADO DO PARA</w:t>
      </w:r>
      <w:r>
        <w:rPr>
          <w:rStyle w:val="Fontepargpadro6"/>
          <w:rFonts w:ascii="Calibri" w:hAnsi="Calibri"/>
        </w:rPr>
        <w:t xml:space="preserve">, </w:t>
      </w:r>
      <w:r>
        <w:rPr>
          <w:rStyle w:val="Fontepargpadro6"/>
          <w:rFonts w:ascii="Calibri" w:hAnsi="Calibri"/>
          <w:sz w:val="20"/>
          <w:szCs w:val="20"/>
        </w:rPr>
        <w:t>por meio da Convenção Coletiva de Trabalho 2019/2020, registrada sob o nº</w:t>
      </w:r>
      <w:r>
        <w:rPr>
          <w:rStyle w:val="Fontepargpadro6"/>
          <w:rFonts w:ascii="Calibri" w:hAnsi="Calibri"/>
        </w:rPr>
        <w:t xml:space="preserve"> </w:t>
      </w:r>
      <w:r>
        <w:rPr>
          <w:rStyle w:val="Fontepargpadro6"/>
          <w:rFonts w:ascii="Calibri" w:hAnsi="Calibri"/>
          <w:b/>
          <w:sz w:val="20"/>
          <w:szCs w:val="20"/>
        </w:rPr>
        <w:t>PA000153/2019</w:t>
      </w:r>
      <w:r>
        <w:rPr>
          <w:rStyle w:val="Fontepargpadro6"/>
          <w:rFonts w:ascii="Calibri" w:hAnsi="Calibri"/>
          <w:sz w:val="20"/>
          <w:szCs w:val="20"/>
        </w:rPr>
        <w:t>.</w:t>
      </w:r>
    </w:p>
    <w:p>
      <w:pPr>
        <w:pStyle w:val="Default"/>
        <w:jc w:val="both"/>
        <w:rPr>
          <w:rFonts w:ascii="Calibri" w:hAnsi="Calibri"/>
          <w:b/>
          <w:b/>
          <w:u w:val="single"/>
        </w:rPr>
      </w:pPr>
      <w:r>
        <w:rPr>
          <w:rFonts w:ascii="Calibri" w:hAnsi="Calibri"/>
          <w:b/>
          <w:u w:val="single"/>
        </w:rPr>
      </w:r>
    </w:p>
    <w:tbl>
      <w:tblPr>
        <w:tblStyle w:val="TabeladeGrade6Colorida-nfase31"/>
        <w:tblW w:w="9351" w:type="dxa"/>
        <w:jc w:val="left"/>
        <w:tblInd w:w="0" w:type="dxa"/>
        <w:tblCellMar>
          <w:top w:w="0" w:type="dxa"/>
          <w:left w:w="108" w:type="dxa"/>
          <w:bottom w:w="0" w:type="dxa"/>
          <w:right w:w="108" w:type="dxa"/>
        </w:tblCellMar>
        <w:tblLook w:firstRow="1" w:noVBand="1" w:lastRow="1" w:firstColumn="1" w:lastColumn="0" w:noHBand="0" w:val="04e0"/>
      </w:tblPr>
      <w:tblGrid>
        <w:gridCol w:w="3679"/>
        <w:gridCol w:w="1559"/>
        <w:gridCol w:w="4113"/>
      </w:tblGrid>
      <w:tr>
        <w:trPr>
          <w:trHeight w:val="352" w:hRule="atLeast"/>
          <w:cnfStyle w:val="100000000000" w:firstRow="1" w:lastRow="0" w:firstColumn="0" w:lastColumn="0" w:oddVBand="0" w:evenVBand="0" w:oddHBand="0" w:evenHBand="0" w:firstRowFirstColumn="0" w:firstRowLastColumn="0" w:lastRowFirstColumn="0" w:lastRowLastColumn="0"/>
        </w:trPr>
        <w:tc>
          <w:tcPr>
            <w:tcW w:w="3679" w:type="dxa"/>
            <w:cnfStyle w:val="001000000000" w:firstRow="0" w:lastRow="0" w:firstColumn="1" w:lastColumn="0" w:oddVBand="0" w:evenVBand="0" w:oddHBand="0" w:evenHBand="0" w:firstRowFirstColumn="0" w:firstRowLastColumn="0" w:lastRowFirstColumn="0" w:lastRowLastColumn="0"/>
            <w:tcBorders>
              <w:bottom w:val="single" w:sz="12" w:space="0" w:color="C2D69B"/>
            </w:tcBorders>
            <w:shd w:color="auto" w:fill="4F6228" w:themeFill="accent3" w:themeFillShade="80" w:val="clear"/>
          </w:tcPr>
          <w:p>
            <w:pPr>
              <w:pStyle w:val="Normal"/>
              <w:jc w:val="center"/>
              <w:rPr>
                <w:rFonts w:ascii="Calibri" w:hAnsi="Calibri" w:asciiTheme="minorHAnsi" w:hAnsiTheme="minorHAnsi"/>
                <w:b w:val="false"/>
                <w:b w:val="false"/>
                <w:color w:val="auto"/>
                <w:sz w:val="18"/>
                <w:szCs w:val="18"/>
              </w:rPr>
            </w:pPr>
            <w:r>
              <w:rPr>
                <w:rFonts w:ascii="Calibri" w:hAnsi="Calibri" w:asciiTheme="minorHAnsi" w:hAnsiTheme="minorHAnsi"/>
                <w:b/>
                <w:bCs/>
                <w:color w:val="auto" w:themeColor="accent3" w:themeShade="bf"/>
                <w:sz w:val="18"/>
                <w:szCs w:val="18"/>
              </w:rPr>
              <w:t>CATEGORIA</w:t>
            </w:r>
          </w:p>
        </w:tc>
        <w:tc>
          <w:tcPr>
            <w:tcW w:w="1559" w:type="dxa"/>
            <w:tcBorders>
              <w:bottom w:val="single" w:sz="12" w:space="0" w:color="C2D69B"/>
            </w:tcBorders>
            <w:shd w:color="auto" w:fill="4F6228" w:themeFill="accent3" w:themeFillShade="80" w:val="clear"/>
          </w:tcPr>
          <w:p>
            <w:pPr>
              <w:pStyle w:val="Normal"/>
              <w:jc w:val="center"/>
              <w:cnfStyle w:val="100000000000" w:firstRow="1" w:lastRow="0" w:firstColumn="0" w:lastColumn="0" w:oddVBand="0" w:evenVBand="0" w:oddHBand="0" w:evenHBand="0" w:firstRowFirstColumn="0" w:firstRowLastColumn="0" w:lastRowFirstColumn="0" w:lastRowLastColumn="0"/>
              <w:rPr>
                <w:rFonts w:ascii="Calibri" w:hAnsi="Calibri" w:asciiTheme="minorHAnsi" w:hAnsiTheme="minorHAnsi"/>
                <w:b w:val="false"/>
                <w:b w:val="false"/>
                <w:color w:val="auto"/>
                <w:sz w:val="18"/>
                <w:szCs w:val="18"/>
              </w:rPr>
            </w:pPr>
            <w:r>
              <w:rPr>
                <w:rFonts w:ascii="Calibri" w:hAnsi="Calibri" w:asciiTheme="minorHAnsi" w:hAnsiTheme="minorHAnsi"/>
                <w:b/>
                <w:bCs/>
                <w:color w:val="auto" w:themeColor="accent3" w:themeShade="bf"/>
                <w:sz w:val="18"/>
                <w:szCs w:val="18"/>
              </w:rPr>
              <w:t>SALÁRIO (R$)</w:t>
            </w:r>
          </w:p>
        </w:tc>
        <w:tc>
          <w:tcPr>
            <w:tcW w:w="4113" w:type="dxa"/>
            <w:tcBorders>
              <w:bottom w:val="single" w:sz="12" w:space="0" w:color="C2D69B"/>
            </w:tcBorders>
            <w:shd w:color="auto" w:fill="4F6228" w:themeFill="accent3" w:themeFillShade="80" w:val="clear"/>
          </w:tcPr>
          <w:p>
            <w:pPr>
              <w:pStyle w:val="Normal"/>
              <w:jc w:val="center"/>
              <w:cnfStyle w:val="100000000000" w:firstRow="1" w:lastRow="0" w:firstColumn="0" w:lastColumn="0" w:oddVBand="0" w:evenVBand="0" w:oddHBand="0" w:evenHBand="0" w:firstRowFirstColumn="0" w:firstRowLastColumn="0" w:lastRowFirstColumn="0" w:lastRowLastColumn="0"/>
              <w:rPr>
                <w:rFonts w:ascii="Calibri" w:hAnsi="Calibri" w:asciiTheme="minorHAnsi" w:hAnsiTheme="minorHAnsi"/>
                <w:color w:val="auto"/>
                <w:sz w:val="18"/>
                <w:szCs w:val="18"/>
              </w:rPr>
            </w:pPr>
            <w:r>
              <w:rPr>
                <w:rFonts w:ascii="Calibri" w:hAnsi="Calibri" w:asciiTheme="minorHAnsi" w:hAnsiTheme="minorHAnsi"/>
                <w:b/>
                <w:bCs w:val="false"/>
                <w:color w:val="auto" w:themeColor="accent3" w:themeShade="bf"/>
                <w:sz w:val="18"/>
                <w:szCs w:val="18"/>
              </w:rPr>
              <w:t xml:space="preserve">REFERÊNCIA </w:t>
            </w:r>
          </w:p>
        </w:tc>
      </w:tr>
      <w:tr>
        <w:trPr>
          <w:cnfStyle w:val="010000000000" w:firstRow="0" w:lastRow="1" w:firstColumn="0" w:lastColumn="0" w:oddVBand="0" w:evenVBand="0" w:oddHBand="0" w:evenHBand="0" w:firstRowFirstColumn="0" w:firstRowLastColumn="0" w:lastRowFirstColumn="0" w:lastRowLastColumn="0"/>
        </w:trPr>
        <w:tc>
          <w:tcPr>
            <w:tcW w:w="3679" w:type="dxa"/>
            <w:cnfStyle w:val="001000000000" w:firstRow="0" w:lastRow="0" w:firstColumn="1" w:lastColumn="0" w:oddVBand="0" w:evenVBand="0" w:oddHBand="0" w:evenHBand="0" w:firstRowFirstColumn="0" w:firstRowLastColumn="0" w:lastRowFirstColumn="0" w:lastRowLastColumn="0"/>
            <w:tcBorders>
              <w:top w:val="double" w:sz="4" w:space="0" w:color="C2D69B"/>
              <w:bottom w:val="double" w:sz="4" w:space="0" w:color="C2D69B"/>
            </w:tcBorders>
            <w:shd w:color="auto" w:fill="auto" w:val="clear"/>
          </w:tcPr>
          <w:p>
            <w:pPr>
              <w:pStyle w:val="Normal"/>
              <w:rPr>
                <w:rFonts w:ascii="Calibri" w:hAnsi="Calibri" w:asciiTheme="minorHAnsi" w:hAnsiTheme="minorHAnsi"/>
                <w:b w:val="false"/>
                <w:b w:val="false"/>
                <w:color w:val="auto"/>
                <w:sz w:val="18"/>
                <w:szCs w:val="18"/>
              </w:rPr>
            </w:pPr>
            <w:r>
              <w:rPr>
                <w:rFonts w:ascii="Calibri" w:hAnsi="Calibri" w:asciiTheme="minorHAnsi" w:hAnsiTheme="minorHAnsi"/>
                <w:b w:val="false"/>
                <w:bCs/>
                <w:color w:val="auto" w:themeColor="accent3" w:themeShade="bf"/>
                <w:sz w:val="18"/>
                <w:szCs w:val="18"/>
              </w:rPr>
              <w:t>Servente (44 horas)</w:t>
            </w:r>
          </w:p>
        </w:tc>
        <w:tc>
          <w:tcPr>
            <w:tcW w:w="1559" w:type="dxa"/>
            <w:tcBorders>
              <w:top w:val="double" w:sz="4" w:space="0" w:color="C2D69B"/>
              <w:bottom w:val="double" w:sz="4" w:space="0" w:color="C2D69B"/>
            </w:tcBorders>
            <w:shd w:color="auto" w:fill="auto" w:val="clear"/>
          </w:tcPr>
          <w:p>
            <w:pPr>
              <w:pStyle w:val="Normal"/>
              <w:jc w:val="center"/>
              <w:cnfStyle w:val="010000000000" w:firstRow="0" w:lastRow="1" w:firstColumn="0" w:lastColumn="0" w:oddVBand="0" w:evenVBand="0" w:oddHBand="0" w:evenHBand="0" w:firstRowFirstColumn="0" w:firstRowLastColumn="0" w:lastRowFirstColumn="0" w:lastRowLastColumn="0"/>
              <w:rPr>
                <w:rFonts w:ascii="Calibri" w:hAnsi="Calibri" w:asciiTheme="minorHAnsi" w:hAnsiTheme="minorHAnsi"/>
                <w:color w:val="auto"/>
                <w:sz w:val="18"/>
                <w:szCs w:val="18"/>
              </w:rPr>
            </w:pPr>
            <w:r>
              <w:rPr>
                <w:b/>
                <w:bCs/>
                <w:color w:val="auto" w:themeColor="accent3" w:themeShade="bf"/>
              </w:rPr>
              <w:t>R$ 1.099,90</w:t>
            </w:r>
          </w:p>
        </w:tc>
        <w:tc>
          <w:tcPr>
            <w:tcW w:w="4113" w:type="dxa"/>
            <w:tcBorders>
              <w:top w:val="double" w:sz="4" w:space="0" w:color="C2D69B"/>
              <w:bottom w:val="double" w:sz="4" w:space="0" w:color="C2D69B"/>
            </w:tcBorders>
            <w:shd w:color="auto" w:fill="auto" w:val="clear"/>
          </w:tcPr>
          <w:p>
            <w:pPr>
              <w:pStyle w:val="Normal"/>
              <w:jc w:val="center"/>
              <w:cnfStyle w:val="010000000000" w:firstRow="0" w:lastRow="1" w:firstColumn="0" w:lastColumn="0" w:oddVBand="0" w:evenVBand="0" w:oddHBand="0" w:evenHBand="0" w:firstRowFirstColumn="0" w:firstRowLastColumn="0" w:lastRowFirstColumn="0" w:lastRowLastColumn="0"/>
              <w:rPr>
                <w:rFonts w:ascii="Calibri" w:hAnsi="Calibri" w:asciiTheme="minorHAnsi" w:hAnsiTheme="minorHAnsi"/>
                <w:color w:val="auto"/>
                <w:sz w:val="18"/>
                <w:szCs w:val="18"/>
              </w:rPr>
            </w:pPr>
            <w:r>
              <w:rPr>
                <w:rFonts w:ascii="Calibri" w:hAnsi="Calibri" w:asciiTheme="minorHAnsi" w:hAnsiTheme="minorHAnsi"/>
                <w:b/>
                <w:bCs/>
                <w:color w:val="auto" w:themeColor="accent3" w:themeShade="bf"/>
                <w:sz w:val="18"/>
                <w:szCs w:val="18"/>
              </w:rPr>
              <w:t>CCT 2019/2020 – PA000153/2019</w:t>
            </w:r>
          </w:p>
        </w:tc>
      </w:tr>
    </w:tbl>
    <w:p>
      <w:pPr>
        <w:pStyle w:val="Normal"/>
        <w:spacing w:lineRule="auto" w:line="276"/>
        <w:jc w:val="both"/>
        <w:rPr>
          <w:rFonts w:ascii="Calibri" w:hAnsi="Calibri" w:cs="Arial"/>
          <w:b/>
          <w:b/>
        </w:rPr>
      </w:pPr>
      <w:r>
        <w:rPr>
          <w:rFonts w:cs="Arial" w:ascii="Calibri" w:hAnsi="Calibri"/>
          <w:b/>
        </w:rPr>
      </w:r>
    </w:p>
    <w:p>
      <w:pPr>
        <w:pStyle w:val="Normal"/>
        <w:spacing w:lineRule="auto" w:line="276"/>
        <w:jc w:val="both"/>
        <w:rPr>
          <w:rFonts w:ascii="Calibri" w:hAnsi="Calibri" w:cs="Arial"/>
          <w:b/>
          <w:b/>
        </w:rPr>
      </w:pPr>
      <w:r>
        <w:rPr>
          <w:rFonts w:cs="Arial" w:ascii="Calibri" w:hAnsi="Calibri"/>
          <w:b/>
        </w:rPr>
        <w:t>B e C) Adicional de Insalubridade/Periculosidade</w:t>
      </w:r>
    </w:p>
    <w:p>
      <w:pPr>
        <w:pStyle w:val="Normal"/>
        <w:spacing w:lineRule="auto" w:line="276"/>
        <w:jc w:val="both"/>
        <w:rPr>
          <w:rFonts w:ascii="Calibri" w:hAnsi="Calibri" w:cs="Arial"/>
        </w:rPr>
      </w:pPr>
      <w:r>
        <w:rPr>
          <w:rFonts w:cs="Arial" w:ascii="Calibri" w:hAnsi="Calibri"/>
        </w:rPr>
        <w:t>Não há previsão inicial para os demais postos. Poderá ser alvo de reequilíbrio após apresentação de laudo, mediante apresentação de laudo do SESMET das empresas prestadoras de serviço que considere os respectivos locais insalubres, conforme cláusula 18ª da CCT.</w:t>
      </w:r>
    </w:p>
    <w:p>
      <w:pPr>
        <w:pStyle w:val="Normal"/>
        <w:spacing w:lineRule="auto" w:line="276"/>
        <w:jc w:val="both"/>
        <w:rPr>
          <w:rFonts w:ascii="Calibri" w:hAnsi="Calibri" w:cs="Arial"/>
          <w:b/>
          <w:b/>
        </w:rPr>
      </w:pPr>
      <w:r>
        <w:rPr>
          <w:rFonts w:cs="Arial" w:ascii="Calibri" w:hAnsi="Calibri"/>
          <w:b/>
        </w:rPr>
      </w:r>
    </w:p>
    <w:p>
      <w:pPr>
        <w:pStyle w:val="Normal"/>
        <w:spacing w:lineRule="auto" w:line="276"/>
        <w:jc w:val="both"/>
        <w:rPr>
          <w:rFonts w:ascii="Calibri" w:hAnsi="Calibri" w:cs="Arial"/>
          <w:b/>
          <w:b/>
        </w:rPr>
      </w:pPr>
      <w:r>
        <w:rPr>
          <w:rFonts w:cs="Arial" w:ascii="Calibri" w:hAnsi="Calibri"/>
          <w:b/>
        </w:rPr>
        <w:t>D) Adicional Noturno</w:t>
      </w:r>
    </w:p>
    <w:p>
      <w:pPr>
        <w:pStyle w:val="Normal"/>
        <w:spacing w:lineRule="auto" w:line="276"/>
        <w:jc w:val="both"/>
        <w:rPr>
          <w:rFonts w:ascii="Calibri" w:hAnsi="Calibri" w:cs="Arial"/>
        </w:rPr>
      </w:pPr>
      <w:r>
        <w:rPr>
          <w:rFonts w:cs="Arial" w:ascii="Calibri" w:hAnsi="Calibri"/>
        </w:rPr>
        <w:t>Não há previsão para esse custo.</w:t>
      </w:r>
      <w:bookmarkStart w:id="0" w:name="_GoBack"/>
      <w:bookmarkEnd w:id="0"/>
    </w:p>
    <w:p>
      <w:pPr>
        <w:pStyle w:val="Normal"/>
        <w:spacing w:lineRule="auto" w:line="276"/>
        <w:jc w:val="both"/>
        <w:rPr>
          <w:rFonts w:ascii="Calibri" w:hAnsi="Calibri" w:cs="Arial"/>
          <w:b/>
          <w:b/>
          <w:sz w:val="16"/>
          <w:szCs w:val="16"/>
        </w:rPr>
      </w:pPr>
      <w:r>
        <w:rPr>
          <w:rFonts w:cs="Arial" w:ascii="Calibri" w:hAnsi="Calibri"/>
          <w:b/>
          <w:sz w:val="16"/>
          <w:szCs w:val="16"/>
        </w:rPr>
      </w:r>
    </w:p>
    <w:p>
      <w:pPr>
        <w:pStyle w:val="Normal"/>
        <w:spacing w:lineRule="auto" w:line="276"/>
        <w:jc w:val="both"/>
        <w:rPr>
          <w:rFonts w:ascii="Calibri" w:hAnsi="Calibri" w:cs="Arial"/>
          <w:b/>
          <w:b/>
        </w:rPr>
      </w:pPr>
      <w:r>
        <w:rPr>
          <w:rFonts w:cs="Arial" w:ascii="Calibri" w:hAnsi="Calibri"/>
          <w:b/>
        </w:rPr>
        <w:t>E) Adicional de hora noturna reduzida</w:t>
      </w:r>
    </w:p>
    <w:p>
      <w:pPr>
        <w:pStyle w:val="Normal"/>
        <w:spacing w:lineRule="auto" w:line="276"/>
        <w:jc w:val="both"/>
        <w:rPr>
          <w:rFonts w:ascii="Calibri" w:hAnsi="Calibri" w:cs="Arial"/>
        </w:rPr>
      </w:pPr>
      <w:r>
        <w:rPr>
          <w:rFonts w:cs="Arial" w:ascii="Calibri" w:hAnsi="Calibri"/>
        </w:rPr>
        <w:t>Não há previsão para esse custo.</w:t>
      </w:r>
    </w:p>
    <w:p>
      <w:pPr>
        <w:pStyle w:val="Normal"/>
        <w:spacing w:lineRule="auto" w:line="276"/>
        <w:jc w:val="both"/>
        <w:rPr>
          <w:rFonts w:ascii="Calibri" w:hAnsi="Calibri" w:cs="Arial"/>
        </w:rPr>
      </w:pPr>
      <w:r>
        <w:rPr>
          <w:rFonts w:cs="Arial" w:ascii="Calibri" w:hAnsi="Calibri"/>
        </w:rPr>
      </w:r>
    </w:p>
    <w:p>
      <w:pPr>
        <w:pStyle w:val="Normal"/>
        <w:spacing w:lineRule="auto" w:line="276"/>
        <w:jc w:val="both"/>
        <w:rPr>
          <w:rFonts w:ascii="Calibri" w:hAnsi="Calibri" w:cs="Arial" w:asciiTheme="minorHAnsi" w:hAnsiTheme="minorHAnsi"/>
          <w:b/>
          <w:b/>
        </w:rPr>
      </w:pPr>
      <w:r>
        <w:rPr>
          <w:rStyle w:val="Strong"/>
          <w:rFonts w:cs="Arial" w:ascii="Calibri" w:hAnsi="Calibri" w:asciiTheme="minorHAnsi" w:hAnsiTheme="minorHAnsi"/>
          <w:color w:val="000000"/>
          <w:shd w:fill="FFFFFF" w:val="clear"/>
        </w:rPr>
        <w:t>Nota 1: </w:t>
      </w:r>
      <w:r>
        <w:rPr>
          <w:rFonts w:cs="Arial" w:ascii="Calibri" w:hAnsi="Calibri" w:asciiTheme="minorHAnsi" w:hAnsiTheme="minorHAnsi"/>
          <w:color w:val="000000"/>
          <w:shd w:fill="FFFFFF" w:val="clear"/>
        </w:rPr>
        <w:t>O Módulo 1 refere-se ao </w:t>
      </w:r>
      <w:r>
        <w:rPr>
          <w:rStyle w:val="Strong"/>
          <w:rFonts w:cs="Arial" w:ascii="Calibri" w:hAnsi="Calibri" w:asciiTheme="minorHAnsi" w:hAnsiTheme="minorHAnsi"/>
          <w:color w:val="000000"/>
          <w:shd w:fill="FFFFFF" w:val="clear"/>
        </w:rPr>
        <w:t>valor mensal devido ao empregado</w:t>
      </w:r>
      <w:r>
        <w:rPr>
          <w:rFonts w:cs="Arial" w:ascii="Calibri" w:hAnsi="Calibri" w:asciiTheme="minorHAnsi" w:hAnsiTheme="minorHAnsi"/>
          <w:color w:val="000000"/>
          <w:shd w:fill="FFFFFF" w:val="clear"/>
        </w:rPr>
        <w:t> pela prestação do serviço no período de 12 meses.</w:t>
      </w:r>
    </w:p>
    <w:p>
      <w:pPr>
        <w:pStyle w:val="Normal"/>
        <w:spacing w:lineRule="auto" w:line="276"/>
        <w:jc w:val="both"/>
        <w:rPr>
          <w:rFonts w:ascii="Calibri" w:hAnsi="Calibri" w:cs="Arial"/>
          <w:b/>
          <w:b/>
        </w:rPr>
      </w:pPr>
      <w:r>
        <w:rPr>
          <w:rFonts w:cs="Arial" w:ascii="Calibri" w:hAnsi="Calibri"/>
          <w:b/>
        </w:rPr>
      </w:r>
    </w:p>
    <w:p>
      <w:pPr>
        <w:pStyle w:val="Normal"/>
        <w:spacing w:lineRule="auto" w:line="276"/>
        <w:jc w:val="both"/>
        <w:rPr>
          <w:rFonts w:ascii="Calibri" w:hAnsi="Calibri" w:cs="Arial"/>
          <w:b/>
          <w:b/>
        </w:rPr>
      </w:pPr>
      <w:r>
        <w:rPr>
          <w:rFonts w:cs="Arial" w:ascii="Calibri" w:hAnsi="Calibri"/>
          <w:b/>
        </w:rPr>
        <w:t>1-A) Intrajornada</w:t>
      </w:r>
    </w:p>
    <w:p>
      <w:pPr>
        <w:pStyle w:val="Normal"/>
        <w:tabs>
          <w:tab w:val="clear" w:pos="708"/>
          <w:tab w:val="left" w:pos="8130" w:leader="none"/>
        </w:tabs>
        <w:ind w:left="720" w:hanging="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Não haverá indenização e nem previsão de substituto da intrajornada. </w:t>
      </w:r>
    </w:p>
    <w:p>
      <w:pPr>
        <w:pStyle w:val="Normal"/>
        <w:tabs>
          <w:tab w:val="clear" w:pos="708"/>
          <w:tab w:val="left" w:pos="8130" w:leader="none"/>
        </w:tabs>
        <w:ind w:left="720" w:hanging="0"/>
        <w:jc w:val="both"/>
        <w:rPr>
          <w:rFonts w:ascii="Calibri" w:hAnsi="Calibri" w:cs="Calibri" w:asciiTheme="minorHAnsi" w:cstheme="minorHAnsi" w:hAnsiTheme="minorHAnsi"/>
        </w:rPr>
      </w:pPr>
      <w:r>
        <w:rPr>
          <w:rFonts w:cs="Calibri" w:ascii="Calibri" w:hAnsi="Calibri" w:asciiTheme="minorHAnsi" w:cstheme="minorHAnsi" w:hAnsiTheme="minorHAnsi"/>
        </w:rPr>
        <w:tab/>
      </w:r>
    </w:p>
    <w:p>
      <w:pPr>
        <w:pStyle w:val="Normal"/>
        <w:tabs>
          <w:tab w:val="clear" w:pos="708"/>
          <w:tab w:val="left" w:pos="8130" w:leader="none"/>
        </w:tabs>
        <w:ind w:left="720" w:hanging="0"/>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asciiTheme="minorHAnsi" w:hAnsiTheme="minorHAnsi"/>
          <w:iCs/>
          <w:u w:val="single"/>
        </w:rPr>
      </w:pPr>
      <w:r>
        <mc:AlternateContent>
          <mc:Choice Requires="wps">
            <w:drawing>
              <wp:anchor behindDoc="0" distT="0" distB="0" distL="0" distR="0" simplePos="0" locked="0" layoutInCell="1" allowOverlap="1" relativeHeight="17" wp14:anchorId="1533CF78">
                <wp:simplePos x="0" y="0"/>
                <wp:positionH relativeFrom="column">
                  <wp:posOffset>337820</wp:posOffset>
                </wp:positionH>
                <wp:positionV relativeFrom="paragraph">
                  <wp:posOffset>1437005</wp:posOffset>
                </wp:positionV>
                <wp:extent cx="222885" cy="635"/>
                <wp:effectExtent l="0" t="0" r="25400" b="19050"/>
                <wp:wrapNone/>
                <wp:docPr id="2" name="Conector reto 3"/>
                <a:graphic xmlns:a="http://schemas.openxmlformats.org/drawingml/2006/main">
                  <a:graphicData uri="http://schemas.microsoft.com/office/word/2010/wordprocessingShape">
                    <wps:wsp>
                      <wps:cNvSpPr/>
                      <wps:spPr>
                        <a:xfrm>
                          <a:off x="0" y="0"/>
                          <a:ext cx="222120" cy="0"/>
                        </a:xfrm>
                        <a:prstGeom prst="line">
                          <a:avLst/>
                        </a:prstGeom>
                        <a:ln>
                          <a:round/>
                        </a:ln>
                      </wps:spPr>
                      <wps:style>
                        <a:lnRef idx="1">
                          <a:schemeClr val="dk1"/>
                        </a:lnRef>
                        <a:fillRef idx="0">
                          <a:schemeClr val="dk1"/>
                        </a:fillRef>
                        <a:effectRef idx="0">
                          <a:schemeClr val="dk1"/>
                        </a:effectRef>
                        <a:fontRef idx="minor"/>
                      </wps:style>
                      <wps:bodyPr/>
                    </wps:wsp>
                  </a:graphicData>
                </a:graphic>
              </wp:anchor>
            </w:drawing>
          </mc:Choice>
          <mc:Fallback>
            <w:pict>
              <v:line id="shape_0" from="26.6pt,113.15pt" to="44.05pt,113.15pt" ID="Conector reto 3" stroked="t" style="position:absolute" wp14:anchorId="1533CF78">
                <v:stroke color="black" weight="9360" joinstyle="round" endcap="flat"/>
                <v:fill o:detectmouseclick="t" on="false"/>
              </v:line>
            </w:pict>
          </mc:Fallback>
        </mc:AlternateContent>
      </w:r>
      <w:r>
        <w:rPr>
          <w:rFonts w:ascii="Calibri" w:hAnsi="Calibri" w:asciiTheme="minorHAnsi" w:hAnsiTheme="minorHAnsi"/>
          <w:b/>
          <w:iCs/>
          <w:u w:val="single"/>
        </w:rPr>
        <w:t>Média Mensal de Dias Trabalhados (44 horas semanais)</w:t>
      </w:r>
      <w:r>
        <w:rPr>
          <w:rFonts w:ascii="Calibri" w:hAnsi="Calibri" w:asciiTheme="minorHAnsi" w:hAnsiTheme="minorHAnsi"/>
          <w:iCs/>
          <w:u w:val="single"/>
        </w:rPr>
        <w:t>:</w:t>
      </w:r>
    </w:p>
    <w:p>
      <w:pPr>
        <w:pStyle w:val="Rtecenter"/>
        <w:jc w:val="center"/>
        <w:rPr>
          <w:rFonts w:ascii="Calibri" w:hAnsi="Calibri" w:asciiTheme="minorHAnsi" w:hAnsiTheme="minorHAnsi"/>
          <w:iCs/>
          <w:sz w:val="20"/>
          <w:szCs w:val="20"/>
          <w:u w:val="single"/>
        </w:rPr>
      </w:pPr>
      <w:r>
        <w:rPr>
          <w:rFonts w:asciiTheme="minorHAnsi" w:hAnsiTheme="minorHAnsi" w:ascii="Calibri" w:hAnsi="Calibri"/>
          <w:iCs/>
          <w:sz w:val="20"/>
          <w:szCs w:val="20"/>
          <w:u w:val="single"/>
        </w:rPr>
      </w:r>
    </w:p>
    <w:p>
      <w:pPr>
        <w:pStyle w:val="Rtecenter"/>
        <w:rPr>
          <w:rFonts w:ascii="Calibri" w:hAnsi="Calibri" w:asciiTheme="minorHAnsi" w:hAnsiTheme="minorHAnsi"/>
          <w:iCs/>
          <w:sz w:val="18"/>
          <w:szCs w:val="18"/>
        </w:rPr>
      </w:pPr>
      <w:r>
        <w:rPr>
          <w:rFonts w:ascii="Calibri" w:hAnsi="Calibri" w:asciiTheme="minorHAnsi" w:hAnsiTheme="minorHAnsi"/>
          <w:iCs/>
          <w:sz w:val="18"/>
          <w:szCs w:val="18"/>
        </w:rPr>
        <w:t>Considerando 8 feriados nacionais, 01 feriado estadual (data magna), 04 feriados municipais (incluindo sexta-feira da paixão).</w:t>
      </w:r>
    </w:p>
    <w:p>
      <w:pPr>
        <w:pStyle w:val="Rtecenter"/>
        <w:rPr>
          <w:rFonts w:ascii="Calibri" w:hAnsi="Calibri" w:asciiTheme="minorHAnsi" w:hAnsiTheme="minorHAnsi"/>
          <w:iCs/>
          <w:sz w:val="18"/>
          <w:szCs w:val="18"/>
        </w:rPr>
      </w:pPr>
      <w:r>
        <w:rPr>
          <w:rFonts w:ascii="Calibri" w:hAnsi="Calibri" w:asciiTheme="minorHAnsi" w:hAnsiTheme="minorHAnsi"/>
          <w:iCs/>
          <w:sz w:val="18"/>
          <w:szCs w:val="18"/>
        </w:rPr>
        <w:t>13 feriados por ano, sendo 10 com data fixa.</w:t>
      </w:r>
    </w:p>
    <w:p>
      <w:pPr>
        <w:pStyle w:val="Rtecenter"/>
        <w:rPr>
          <w:rFonts w:ascii="Calibri" w:hAnsi="Calibri" w:asciiTheme="minorHAnsi" w:hAnsiTheme="minorHAnsi"/>
          <w:iCs/>
          <w:sz w:val="18"/>
          <w:szCs w:val="18"/>
        </w:rPr>
      </w:pPr>
      <w:r>
        <w:rPr>
          <w:rFonts w:ascii="Calibri" w:hAnsi="Calibri" w:asciiTheme="minorHAnsi" w:hAnsiTheme="minorHAnsi"/>
          <w:iCs/>
          <w:sz w:val="18"/>
          <w:szCs w:val="18"/>
        </w:rPr>
        <w:t>Sendo assim, considerando 06 dias de trabalho por semana (jornada de 44 horas), temos:</w:t>
      </w:r>
    </w:p>
    <w:p>
      <w:pPr>
        <w:pStyle w:val="Rtecenter"/>
        <w:rPr>
          <w:rFonts w:ascii="Calibri" w:hAnsi="Calibri" w:asciiTheme="minorHAnsi" w:hAnsiTheme="minorHAnsi"/>
          <w:iCs/>
          <w:sz w:val="18"/>
          <w:szCs w:val="18"/>
        </w:rPr>
      </w:pPr>
      <w:r>
        <w:rPr>
          <w:rFonts w:asciiTheme="minorHAnsi" w:hAnsiTheme="minorHAnsi" w:ascii="Calibri" w:hAnsi="Calibri"/>
          <w:iCs/>
          <w:sz w:val="18"/>
          <w:szCs w:val="18"/>
        </w:rPr>
      </w:r>
    </w:p>
    <w:p>
      <w:pPr>
        <w:pStyle w:val="Rtecenter"/>
        <w:rPr>
          <w:rFonts w:ascii="Calibri" w:hAnsi="Calibri" w:asciiTheme="minorHAnsi" w:hAnsiTheme="minorHAnsi"/>
          <w:iCs/>
          <w:sz w:val="18"/>
          <w:szCs w:val="18"/>
        </w:rPr>
      </w:pPr>
      <w:r>
        <w:rPr>
          <w:rFonts w:ascii="Calibri" w:hAnsi="Calibri" w:asciiTheme="minorHAnsi" w:hAnsiTheme="minorHAnsi"/>
          <w:b/>
          <w:iCs/>
          <w:sz w:val="18"/>
          <w:szCs w:val="18"/>
        </w:rPr>
        <w:t>(a)</w:t>
      </w:r>
      <w:r>
        <w:rPr>
          <w:rFonts w:ascii="Calibri" w:hAnsi="Calibri" w:asciiTheme="minorHAnsi" w:hAnsiTheme="minorHAnsi"/>
          <w:iCs/>
          <w:sz w:val="18"/>
          <w:szCs w:val="18"/>
        </w:rPr>
        <w:t xml:space="preserve"> 10 x (6/7)  = 8,5714</w:t>
      </w:r>
    </w:p>
    <w:p>
      <w:pPr>
        <w:pStyle w:val="Rtecenter"/>
        <w:rPr>
          <w:rFonts w:ascii="Calibri" w:hAnsi="Calibri" w:asciiTheme="minorHAnsi" w:hAnsiTheme="minorHAnsi"/>
          <w:iCs/>
          <w:sz w:val="18"/>
          <w:szCs w:val="18"/>
        </w:rPr>
      </w:pPr>
      <w:r>
        <w:rPr>
          <w:rFonts w:ascii="Calibri" w:hAnsi="Calibri" w:asciiTheme="minorHAnsi" w:hAnsiTheme="minorHAnsi"/>
          <w:iCs/>
          <w:sz w:val="18"/>
          <w:szCs w:val="18"/>
        </w:rPr>
        <w:t xml:space="preserve">              </w:t>
      </w:r>
    </w:p>
    <w:p>
      <w:pPr>
        <w:pStyle w:val="Rtecenter"/>
        <w:rPr>
          <w:rFonts w:ascii="Calibri" w:hAnsi="Calibri" w:asciiTheme="minorHAnsi" w:hAnsiTheme="minorHAnsi"/>
          <w:iCs/>
          <w:sz w:val="18"/>
          <w:szCs w:val="18"/>
        </w:rPr>
      </w:pPr>
      <w:r>
        <w:rPr>
          <w:rFonts w:ascii="Calibri" w:hAnsi="Calibri" w:asciiTheme="minorHAnsi" w:hAnsiTheme="minorHAnsi"/>
          <w:iCs/>
          <w:sz w:val="18"/>
          <w:szCs w:val="18"/>
        </w:rPr>
        <w:t xml:space="preserve">Somando-se aos feriados com data móvel (03):   8,5714 + 3= </w:t>
      </w:r>
      <w:r>
        <w:rPr>
          <w:rFonts w:ascii="Calibri" w:hAnsi="Calibri" w:asciiTheme="minorHAnsi" w:hAnsiTheme="minorHAnsi"/>
          <w:b/>
          <w:iCs/>
          <w:sz w:val="18"/>
          <w:szCs w:val="18"/>
        </w:rPr>
        <w:t>11,5714</w:t>
      </w:r>
      <w:r>
        <w:rPr>
          <w:rFonts w:ascii="Calibri" w:hAnsi="Calibri" w:asciiTheme="minorHAnsi" w:hAnsiTheme="minorHAnsi"/>
          <w:iCs/>
          <w:sz w:val="18"/>
          <w:szCs w:val="18"/>
        </w:rPr>
        <w:t xml:space="preserve"> (por ano)</w:t>
      </w:r>
    </w:p>
    <w:p>
      <w:pPr>
        <w:pStyle w:val="Rtecenter"/>
        <w:rPr>
          <w:rFonts w:ascii="Calibri" w:hAnsi="Calibri" w:asciiTheme="minorHAnsi" w:hAnsiTheme="minorHAnsi"/>
          <w:iCs/>
          <w:sz w:val="18"/>
          <w:szCs w:val="18"/>
        </w:rPr>
      </w:pPr>
      <w:r>
        <w:rPr>
          <w:rFonts w:asciiTheme="minorHAnsi" w:hAnsiTheme="minorHAnsi" w:ascii="Calibri" w:hAnsi="Calibri"/>
          <w:iCs/>
          <w:sz w:val="18"/>
          <w:szCs w:val="18"/>
        </w:rPr>
      </w:r>
    </w:p>
    <w:p>
      <w:pPr>
        <w:pStyle w:val="Rtecenter"/>
        <w:rPr>
          <w:rFonts w:ascii="Calibri" w:hAnsi="Calibri" w:asciiTheme="minorHAnsi" w:hAnsiTheme="minorHAnsi"/>
          <w:iCs/>
          <w:sz w:val="18"/>
          <w:szCs w:val="18"/>
        </w:rPr>
      </w:pPr>
      <w:r>
        <w:rPr>
          <w:rFonts w:ascii="Calibri" w:hAnsi="Calibri" w:asciiTheme="minorHAnsi" w:hAnsiTheme="minorHAnsi"/>
          <w:b/>
          <w:iCs/>
          <w:sz w:val="18"/>
          <w:szCs w:val="18"/>
        </w:rPr>
        <w:t>(b)</w:t>
      </w:r>
      <w:r>
        <w:rPr>
          <w:rFonts w:ascii="Calibri" w:hAnsi="Calibri" w:asciiTheme="minorHAnsi" w:hAnsiTheme="minorHAnsi"/>
          <w:iCs/>
          <w:sz w:val="18"/>
          <w:szCs w:val="18"/>
        </w:rPr>
        <w:t xml:space="preserve"> 365:7 = 52,1429   (semanas no ano)</w:t>
      </w:r>
    </w:p>
    <w:p>
      <w:pPr>
        <w:pStyle w:val="Rtecenter"/>
        <w:rPr>
          <w:rFonts w:ascii="Calibri" w:hAnsi="Calibri" w:asciiTheme="minorHAnsi" w:hAnsiTheme="minorHAnsi"/>
          <w:iCs/>
          <w:sz w:val="18"/>
          <w:szCs w:val="18"/>
        </w:rPr>
      </w:pPr>
      <w:r>
        <w:rPr>
          <w:rFonts w:ascii="Calibri" w:hAnsi="Calibri" w:asciiTheme="minorHAnsi" w:hAnsiTheme="minorHAnsi"/>
          <w:b/>
          <w:iCs/>
          <w:sz w:val="18"/>
          <w:szCs w:val="18"/>
        </w:rPr>
        <w:t>(c)</w:t>
      </w:r>
      <w:r>
        <w:rPr>
          <w:rFonts w:ascii="Calibri" w:hAnsi="Calibri" w:asciiTheme="minorHAnsi" w:hAnsiTheme="minorHAnsi"/>
          <w:iCs/>
          <w:sz w:val="18"/>
          <w:szCs w:val="18"/>
        </w:rPr>
        <w:t xml:space="preserve"> 52,1429 x 1 = 52,1429  (dias de final de semana no ano)</w:t>
      </w:r>
    </w:p>
    <w:p>
      <w:pPr>
        <w:pStyle w:val="Rtecenter"/>
        <w:rPr>
          <w:rFonts w:ascii="Calibri" w:hAnsi="Calibri" w:asciiTheme="minorHAnsi" w:hAnsiTheme="minorHAnsi"/>
          <w:iCs/>
          <w:sz w:val="18"/>
          <w:szCs w:val="18"/>
        </w:rPr>
      </w:pPr>
      <w:r>
        <w:rPr>
          <w:rFonts w:ascii="Calibri" w:hAnsi="Calibri" w:asciiTheme="minorHAnsi" w:hAnsiTheme="minorHAnsi"/>
          <w:b/>
          <w:iCs/>
          <w:sz w:val="18"/>
          <w:szCs w:val="18"/>
        </w:rPr>
        <w:t>(d)</w:t>
      </w:r>
      <w:r>
        <w:rPr>
          <w:rFonts w:ascii="Calibri" w:hAnsi="Calibri" w:asciiTheme="minorHAnsi" w:hAnsiTheme="minorHAnsi"/>
          <w:iCs/>
          <w:sz w:val="18"/>
          <w:szCs w:val="18"/>
        </w:rPr>
        <w:t xml:space="preserve"> 52,1429 + 11,5714 = 63,7143 (dias não trabalhados no ano)</w:t>
      </w:r>
    </w:p>
    <w:p>
      <w:pPr>
        <w:pStyle w:val="Rtecenter"/>
        <w:rPr>
          <w:rFonts w:ascii="Calibri" w:hAnsi="Calibri" w:asciiTheme="minorHAnsi" w:hAnsiTheme="minorHAnsi"/>
          <w:iCs/>
          <w:sz w:val="18"/>
          <w:szCs w:val="18"/>
        </w:rPr>
      </w:pPr>
      <w:r>
        <w:rPr>
          <w:rFonts w:ascii="Calibri" w:hAnsi="Calibri" w:asciiTheme="minorHAnsi" w:hAnsiTheme="minorHAnsi"/>
          <w:b/>
          <w:iCs/>
          <w:sz w:val="18"/>
          <w:szCs w:val="18"/>
        </w:rPr>
        <w:t>(e)</w:t>
      </w:r>
      <w:r>
        <w:rPr>
          <w:rFonts w:ascii="Calibri" w:hAnsi="Calibri" w:asciiTheme="minorHAnsi" w:hAnsiTheme="minorHAnsi"/>
          <w:iCs/>
          <w:sz w:val="18"/>
          <w:szCs w:val="18"/>
        </w:rPr>
        <w:t xml:space="preserve"> 365 – 63,7143 = 301,2857 (dias de trabalho no ano)</w:t>
      </w:r>
    </w:p>
    <w:p>
      <w:pPr>
        <w:pStyle w:val="Rtecenter"/>
        <w:rPr>
          <w:rFonts w:ascii="Calibri" w:hAnsi="Calibri" w:asciiTheme="minorHAnsi" w:hAnsiTheme="minorHAnsi"/>
          <w:iCs/>
          <w:sz w:val="18"/>
          <w:szCs w:val="18"/>
        </w:rPr>
      </w:pPr>
      <w:r>
        <w:rPr>
          <w:rFonts w:ascii="Calibri" w:hAnsi="Calibri" w:asciiTheme="minorHAnsi" w:hAnsiTheme="minorHAnsi"/>
          <w:b/>
          <w:iCs/>
          <w:sz w:val="18"/>
          <w:szCs w:val="18"/>
        </w:rPr>
        <w:t>(f)</w:t>
      </w:r>
      <w:r>
        <w:rPr>
          <w:rFonts w:ascii="Calibri" w:hAnsi="Calibri" w:asciiTheme="minorHAnsi" w:hAnsiTheme="minorHAnsi"/>
          <w:iCs/>
          <w:sz w:val="18"/>
          <w:szCs w:val="18"/>
        </w:rPr>
        <w:t xml:space="preserve"> 301,2857 : 12 = </w:t>
      </w:r>
      <w:r>
        <w:rPr>
          <w:rFonts w:ascii="Calibri" w:hAnsi="Calibri" w:asciiTheme="minorHAnsi" w:hAnsiTheme="minorHAnsi"/>
          <w:b/>
          <w:iCs/>
          <w:sz w:val="18"/>
          <w:szCs w:val="18"/>
        </w:rPr>
        <w:t>25,11</w:t>
      </w:r>
      <w:r>
        <w:rPr>
          <w:rFonts w:ascii="Calibri" w:hAnsi="Calibri" w:asciiTheme="minorHAnsi" w:hAnsiTheme="minorHAnsi"/>
          <w:iCs/>
          <w:sz w:val="18"/>
          <w:szCs w:val="18"/>
        </w:rPr>
        <w:t xml:space="preserve"> (</w:t>
      </w:r>
      <w:r>
        <w:rPr>
          <w:rFonts w:ascii="Calibri" w:hAnsi="Calibri" w:asciiTheme="minorHAnsi" w:hAnsiTheme="minorHAnsi"/>
          <w:b/>
          <w:iCs/>
          <w:sz w:val="18"/>
          <w:szCs w:val="18"/>
        </w:rPr>
        <w:t>MMDT</w:t>
      </w:r>
      <w:r>
        <w:rPr>
          <w:rFonts w:ascii="Calibri" w:hAnsi="Calibri" w:asciiTheme="minorHAnsi" w:hAnsiTheme="minorHAnsi"/>
          <w:iCs/>
          <w:sz w:val="18"/>
          <w:szCs w:val="18"/>
        </w:rPr>
        <w:t xml:space="preserve"> – Média mensal de dias trabalhados)</w:t>
      </w:r>
    </w:p>
    <w:p>
      <w:pPr>
        <w:pStyle w:val="Rtecenter"/>
        <w:rPr>
          <w:rFonts w:ascii="Calibri" w:hAnsi="Calibri" w:asciiTheme="minorHAnsi" w:hAnsiTheme="minorHAnsi"/>
          <w:iCs/>
          <w:sz w:val="18"/>
          <w:szCs w:val="18"/>
        </w:rPr>
      </w:pPr>
      <w:r>
        <w:rPr>
          <w:rFonts w:asciiTheme="minorHAnsi" w:hAnsiTheme="minorHAnsi" w:ascii="Calibri" w:hAnsi="Calibri"/>
          <w:iCs/>
          <w:sz w:val="18"/>
          <w:szCs w:val="18"/>
        </w:rPr>
      </w:r>
    </w:p>
    <w:p>
      <w:pPr>
        <w:pStyle w:val="Rtecenter"/>
        <w:rPr>
          <w:rFonts w:ascii="Calibri" w:hAnsi="Calibri" w:asciiTheme="minorHAnsi" w:hAnsiTheme="minorHAnsi"/>
          <w:iCs/>
          <w:sz w:val="20"/>
          <w:szCs w:val="20"/>
          <w:u w:val="single"/>
        </w:rPr>
      </w:pPr>
      <w:r>
        <w:rPr>
          <w:rFonts w:ascii="Calibri" w:hAnsi="Calibri" w:asciiTheme="minorHAnsi" w:hAnsiTheme="minorHAnsi"/>
          <w:b/>
          <w:iCs/>
          <w:sz w:val="20"/>
          <w:szCs w:val="20"/>
          <w:u w:val="single"/>
        </w:rPr>
        <w:t>Média Mensal de Dias Trabalhados (12x36)</w:t>
      </w:r>
      <w:r>
        <w:rPr>
          <w:rFonts w:ascii="Calibri" w:hAnsi="Calibri" w:asciiTheme="minorHAnsi" w:hAnsiTheme="minorHAnsi"/>
          <w:iCs/>
          <w:sz w:val="20"/>
          <w:szCs w:val="20"/>
          <w:u w:val="single"/>
        </w:rPr>
        <w:t>:</w:t>
      </w:r>
    </w:p>
    <w:p>
      <w:pPr>
        <w:pStyle w:val="Rtecenter"/>
        <w:jc w:val="center"/>
        <w:rPr>
          <w:rFonts w:ascii="Calibri" w:hAnsi="Calibri" w:asciiTheme="minorHAnsi" w:hAnsiTheme="minorHAnsi"/>
          <w:iCs/>
          <w:sz w:val="20"/>
          <w:szCs w:val="20"/>
          <w:u w:val="single"/>
        </w:rPr>
      </w:pPr>
      <w:r>
        <w:rPr>
          <w:rFonts w:asciiTheme="minorHAnsi" w:hAnsiTheme="minorHAnsi" w:ascii="Calibri" w:hAnsi="Calibri"/>
          <w:iCs/>
          <w:sz w:val="20"/>
          <w:szCs w:val="20"/>
          <w:u w:val="single"/>
        </w:rPr>
      </w:r>
    </w:p>
    <w:p>
      <w:pPr>
        <w:pStyle w:val="Rtecenter"/>
        <w:rPr>
          <w:rFonts w:ascii="Calibri" w:hAnsi="Calibri" w:asciiTheme="minorHAnsi" w:hAnsiTheme="minorHAnsi"/>
          <w:iCs/>
          <w:sz w:val="18"/>
          <w:szCs w:val="18"/>
        </w:rPr>
      </w:pPr>
      <w:r>
        <w:rPr>
          <w:rFonts w:ascii="Calibri" w:hAnsi="Calibri" w:asciiTheme="minorHAnsi" w:hAnsiTheme="minorHAnsi"/>
          <w:b/>
          <w:iCs/>
          <w:sz w:val="18"/>
          <w:szCs w:val="18"/>
        </w:rPr>
        <w:t>(a)</w:t>
      </w:r>
      <w:r>
        <w:rPr>
          <w:rFonts w:ascii="Calibri" w:hAnsi="Calibri" w:asciiTheme="minorHAnsi" w:hAnsiTheme="minorHAnsi"/>
          <w:iCs/>
          <w:sz w:val="18"/>
          <w:szCs w:val="18"/>
        </w:rPr>
        <w:t xml:space="preserve"> 365 : 12 = 30,42   (média de dias no mês)</w:t>
      </w:r>
    </w:p>
    <w:p>
      <w:pPr>
        <w:pStyle w:val="Rtecenter"/>
        <w:rPr>
          <w:rFonts w:ascii="Calibri" w:hAnsi="Calibri" w:asciiTheme="minorHAnsi" w:hAnsiTheme="minorHAnsi"/>
          <w:iCs/>
          <w:sz w:val="18"/>
          <w:szCs w:val="18"/>
        </w:rPr>
      </w:pPr>
      <w:r>
        <w:rPr>
          <w:rFonts w:ascii="Calibri" w:hAnsi="Calibri" w:asciiTheme="minorHAnsi" w:hAnsiTheme="minorHAnsi"/>
          <w:b/>
          <w:iCs/>
          <w:sz w:val="18"/>
          <w:szCs w:val="18"/>
        </w:rPr>
        <w:t>(b)</w:t>
      </w:r>
      <w:r>
        <w:rPr>
          <w:rFonts w:ascii="Calibri" w:hAnsi="Calibri" w:asciiTheme="minorHAnsi" w:hAnsiTheme="minorHAnsi"/>
          <w:iCs/>
          <w:sz w:val="18"/>
          <w:szCs w:val="18"/>
        </w:rPr>
        <w:t xml:space="preserve"> 30,42 : 2 = </w:t>
      </w:r>
      <w:r>
        <w:rPr>
          <w:rFonts w:ascii="Calibri" w:hAnsi="Calibri" w:asciiTheme="minorHAnsi" w:hAnsiTheme="minorHAnsi"/>
          <w:b/>
          <w:iCs/>
          <w:sz w:val="18"/>
          <w:szCs w:val="18"/>
        </w:rPr>
        <w:t>15,21</w:t>
      </w:r>
      <w:r>
        <w:rPr>
          <w:rFonts w:ascii="Calibri" w:hAnsi="Calibri" w:asciiTheme="minorHAnsi" w:hAnsiTheme="minorHAnsi"/>
          <w:iCs/>
          <w:sz w:val="18"/>
          <w:szCs w:val="18"/>
        </w:rPr>
        <w:t xml:space="preserve"> (</w:t>
      </w:r>
      <w:r>
        <w:rPr>
          <w:rFonts w:ascii="Calibri" w:hAnsi="Calibri" w:asciiTheme="minorHAnsi" w:hAnsiTheme="minorHAnsi"/>
          <w:b/>
          <w:iCs/>
          <w:sz w:val="18"/>
          <w:szCs w:val="18"/>
        </w:rPr>
        <w:t>MMDT</w:t>
      </w:r>
      <w:r>
        <w:rPr>
          <w:rFonts w:ascii="Calibri" w:hAnsi="Calibri" w:asciiTheme="minorHAnsi" w:hAnsiTheme="minorHAnsi"/>
          <w:iCs/>
          <w:sz w:val="18"/>
          <w:szCs w:val="18"/>
        </w:rPr>
        <w:t xml:space="preserve"> – Média mensal de dias trabalhado no mês para a jornada 12x36 horas) </w:t>
      </w:r>
    </w:p>
    <w:p>
      <w:pPr>
        <w:pStyle w:val="Normal"/>
        <w:jc w:val="both"/>
        <w:rPr>
          <w:rFonts w:ascii="Calibri" w:hAnsi="Calibri" w:cs="Arial"/>
          <w:b/>
          <w:b/>
          <w:u w:val="single"/>
        </w:rPr>
      </w:pPr>
      <w:r>
        <w:rPr>
          <w:rFonts w:cs="Arial" w:ascii="Calibri" w:hAnsi="Calibri"/>
          <w:b/>
          <w:u w:val="single"/>
        </w:rPr>
      </w:r>
    </w:p>
    <w:p>
      <w:pPr>
        <w:pStyle w:val="Normal"/>
        <w:tabs>
          <w:tab w:val="clear" w:pos="708"/>
          <w:tab w:val="left" w:pos="8130" w:leader="none"/>
        </w:tabs>
        <w:ind w:left="720" w:hanging="0"/>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76"/>
        <w:jc w:val="both"/>
        <w:rPr>
          <w:rFonts w:ascii="Calibri" w:hAnsi="Calibri" w:cs="Arial"/>
          <w:b/>
          <w:b/>
          <w:sz w:val="16"/>
          <w:szCs w:val="16"/>
        </w:rPr>
      </w:pPr>
      <w:r>
        <w:rPr>
          <w:rFonts w:cs="Arial" w:ascii="Calibri" w:hAnsi="Calibri"/>
          <w:b/>
          <w:sz w:val="16"/>
          <w:szCs w:val="16"/>
        </w:rPr>
      </w:r>
    </w:p>
    <w:p>
      <w:pPr>
        <w:pStyle w:val="Normal"/>
        <w:spacing w:lineRule="auto" w:line="276"/>
        <w:jc w:val="both"/>
        <w:rPr>
          <w:rFonts w:ascii="Calibri" w:hAnsi="Calibri" w:cs="Arial"/>
          <w:b/>
          <w:b/>
        </w:rPr>
      </w:pPr>
      <w:r>
        <w:rPr>
          <w:rFonts w:cs="Arial" w:ascii="Calibri" w:hAnsi="Calibri"/>
          <w:b/>
        </w:rPr>
      </w:r>
    </w:p>
    <w:p>
      <w:pPr>
        <w:pStyle w:val="Normal"/>
        <w:jc w:val="both"/>
        <w:rPr>
          <w:rFonts w:ascii="Calibri" w:hAnsi="Calibri" w:cs="Arial"/>
          <w:b/>
          <w:b/>
          <w:u w:val="single"/>
        </w:rPr>
      </w:pPr>
      <w:r>
        <mc:AlternateContent>
          <mc:Choice Requires="wps">
            <w:drawing>
              <wp:anchor behindDoc="0" distT="0" distB="0" distL="0" distR="0" simplePos="0" locked="0" layoutInCell="1" allowOverlap="1" relativeHeight="15" wp14:anchorId="58DAE7C8">
                <wp:simplePos x="0" y="0"/>
                <wp:positionH relativeFrom="column">
                  <wp:posOffset>337820</wp:posOffset>
                </wp:positionH>
                <wp:positionV relativeFrom="paragraph">
                  <wp:posOffset>1437005</wp:posOffset>
                </wp:positionV>
                <wp:extent cx="223520" cy="1270"/>
                <wp:effectExtent l="0" t="0" r="25400" b="19050"/>
                <wp:wrapNone/>
                <wp:docPr id="3" name="Conector reto 9"/>
                <a:graphic xmlns:a="http://schemas.openxmlformats.org/drawingml/2006/main">
                  <a:graphicData uri="http://schemas.microsoft.com/office/word/2010/wordprocessingShape">
                    <wps:wsp>
                      <wps:cNvSpPr/>
                      <wps:spPr>
                        <a:xfrm>
                          <a:off x="0" y="0"/>
                          <a:ext cx="222840" cy="0"/>
                        </a:xfrm>
                        <a:prstGeom prst="line">
                          <a:avLst/>
                        </a:prstGeom>
                        <a:ln>
                          <a:round/>
                        </a:ln>
                      </wps:spPr>
                      <wps:style>
                        <a:lnRef idx="1">
                          <a:schemeClr val="dk1"/>
                        </a:lnRef>
                        <a:fillRef idx="0">
                          <a:schemeClr val="dk1"/>
                        </a:fillRef>
                        <a:effectRef idx="0">
                          <a:schemeClr val="dk1"/>
                        </a:effectRef>
                        <a:fontRef idx="minor"/>
                      </wps:style>
                      <wps:bodyPr/>
                    </wps:wsp>
                  </a:graphicData>
                </a:graphic>
              </wp:anchor>
            </w:drawing>
          </mc:Choice>
          <mc:Fallback>
            <w:pict>
              <v:line id="shape_0" from="26.6pt,113.15pt" to="44.1pt,113.15pt" ID="Conector reto 9" stroked="t" style="position:absolute" wp14:anchorId="58DAE7C8">
                <v:stroke color="black" weight="9360" joinstyle="round" endcap="flat"/>
                <v:fill o:detectmouseclick="t" on="false"/>
              </v:line>
            </w:pict>
          </mc:Fallback>
        </mc:AlternateContent>
      </w:r>
      <w:r>
        <w:rPr>
          <w:rFonts w:cs="Arial" w:ascii="Calibri" w:hAnsi="Calibri"/>
          <w:b/>
          <w:u w:val="single"/>
        </w:rPr>
        <w:t>Modulo 2 – Encargos e Benefícios Anuais, Mensais e Diários</w:t>
      </w:r>
    </w:p>
    <w:p>
      <w:pPr>
        <w:pStyle w:val="Normal"/>
        <w:jc w:val="both"/>
        <w:rPr>
          <w:rFonts w:ascii="Calibri" w:hAnsi="Calibri" w:cs="Arial"/>
          <w:b/>
          <w:b/>
          <w:u w:val="single"/>
        </w:rPr>
      </w:pPr>
      <w:r>
        <w:rPr>
          <w:rFonts w:cs="Arial" w:ascii="Calibri" w:hAnsi="Calibri"/>
          <w:b/>
          <w:u w:val="single"/>
        </w:rPr>
      </w:r>
    </w:p>
    <w:p>
      <w:pPr>
        <w:pStyle w:val="Normal"/>
        <w:jc w:val="both"/>
        <w:rPr>
          <w:rFonts w:ascii="Calibri" w:hAnsi="Calibri" w:cs="Arial"/>
          <w:u w:val="single"/>
          <w:lang w:val="pt-PT"/>
        </w:rPr>
      </w:pPr>
      <w:r>
        <w:rPr>
          <w:rFonts w:cs="Arial" w:ascii="Calibri" w:hAnsi="Calibri"/>
          <w:u w:val="single"/>
          <w:lang w:val="pt-PT"/>
        </w:rPr>
        <w:t>Submódulo 2.1 – 13º Salário, Férias e Adicional de Férias</w:t>
      </w:r>
    </w:p>
    <w:p>
      <w:pPr>
        <w:pStyle w:val="Normal"/>
        <w:jc w:val="both"/>
        <w:rPr>
          <w:rFonts w:ascii="Calibri" w:hAnsi="Calibri" w:cs="Arial"/>
          <w:u w:val="single"/>
          <w:lang w:val="pt-PT"/>
        </w:rPr>
      </w:pPr>
      <w:r>
        <w:rPr>
          <w:rFonts w:cs="Arial" w:ascii="Calibri" w:hAnsi="Calibri"/>
          <w:u w:val="single"/>
          <w:lang w:val="pt-PT"/>
        </w:rPr>
      </w:r>
    </w:p>
    <w:tbl>
      <w:tblPr>
        <w:tblW w:w="8917" w:type="dxa"/>
        <w:jc w:val="center"/>
        <w:tblInd w:w="0" w:type="dxa"/>
        <w:tblCellMar>
          <w:top w:w="0" w:type="dxa"/>
          <w:left w:w="70" w:type="dxa"/>
          <w:bottom w:w="0" w:type="dxa"/>
          <w:right w:w="70" w:type="dxa"/>
        </w:tblCellMar>
        <w:tblLook w:firstRow="1" w:noVBand="1" w:lastRow="0" w:firstColumn="1" w:lastColumn="0" w:noHBand="0" w:val="04a0"/>
      </w:tblPr>
      <w:tblGrid>
        <w:gridCol w:w="1151"/>
        <w:gridCol w:w="22"/>
        <w:gridCol w:w="2236"/>
        <w:gridCol w:w="1"/>
        <w:gridCol w:w="839"/>
        <w:gridCol w:w="1"/>
        <w:gridCol w:w="2845"/>
        <w:gridCol w:w="1"/>
        <w:gridCol w:w="1672"/>
        <w:gridCol w:w="148"/>
      </w:tblGrid>
      <w:tr>
        <w:trPr>
          <w:trHeight w:val="510" w:hRule="atLeast"/>
        </w:trPr>
        <w:tc>
          <w:tcPr>
            <w:tcW w:w="1151"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jc w:val="center"/>
              <w:rPr>
                <w:rFonts w:ascii="Calibri" w:hAnsi="Calibri" w:cs="Arial"/>
                <w:b/>
                <w:b/>
                <w:bCs/>
                <w:color w:val="000000"/>
                <w:sz w:val="18"/>
                <w:szCs w:val="18"/>
              </w:rPr>
            </w:pPr>
            <w:r>
              <w:rPr>
                <w:rFonts w:cs="Arial" w:ascii="Calibri" w:hAnsi="Calibri"/>
                <w:b/>
                <w:bCs/>
                <w:color w:val="000000"/>
                <w:sz w:val="18"/>
                <w:szCs w:val="18"/>
              </w:rPr>
              <w:t>ITEM</w:t>
            </w:r>
          </w:p>
        </w:tc>
        <w:tc>
          <w:tcPr>
            <w:tcW w:w="2258" w:type="dxa"/>
            <w:gridSpan w:val="2"/>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jc w:val="center"/>
              <w:rPr>
                <w:rFonts w:ascii="Calibri" w:hAnsi="Calibri" w:cs="Arial"/>
                <w:b/>
                <w:b/>
                <w:bCs/>
                <w:color w:val="000000"/>
                <w:sz w:val="18"/>
                <w:szCs w:val="18"/>
              </w:rPr>
            </w:pPr>
            <w:r>
              <w:rPr>
                <w:rFonts w:cs="Arial" w:ascii="Calibri" w:hAnsi="Calibri"/>
                <w:b/>
                <w:bCs/>
                <w:color w:val="000000"/>
                <w:sz w:val="18"/>
                <w:szCs w:val="18"/>
              </w:rPr>
              <w:t>DESCRIÇÃO</w:t>
            </w:r>
          </w:p>
        </w:tc>
        <w:tc>
          <w:tcPr>
            <w:tcW w:w="840" w:type="dxa"/>
            <w:gridSpan w:val="2"/>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jc w:val="center"/>
              <w:rPr>
                <w:rFonts w:ascii="Calibri" w:hAnsi="Calibri" w:cs="Arial"/>
                <w:b/>
                <w:b/>
                <w:bCs/>
                <w:color w:val="000000"/>
                <w:sz w:val="18"/>
                <w:szCs w:val="18"/>
              </w:rPr>
            </w:pPr>
            <w:r>
              <w:rPr>
                <w:rFonts w:cs="Arial" w:ascii="Calibri" w:hAnsi="Calibri"/>
                <w:b/>
                <w:bCs/>
                <w:color w:val="000000"/>
                <w:sz w:val="18"/>
                <w:szCs w:val="18"/>
              </w:rPr>
              <w:t>%</w:t>
            </w:r>
          </w:p>
        </w:tc>
        <w:tc>
          <w:tcPr>
            <w:tcW w:w="2846" w:type="dxa"/>
            <w:gridSpan w:val="2"/>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jc w:val="center"/>
              <w:rPr>
                <w:rFonts w:ascii="Calibri" w:hAnsi="Calibri" w:cs="Arial"/>
                <w:b/>
                <w:b/>
                <w:bCs/>
                <w:color w:val="000000"/>
                <w:sz w:val="18"/>
                <w:szCs w:val="18"/>
              </w:rPr>
            </w:pPr>
            <w:r>
              <w:rPr>
                <w:rFonts w:cs="Arial" w:ascii="Calibri" w:hAnsi="Calibri"/>
                <w:b/>
                <w:bCs/>
                <w:color w:val="000000"/>
                <w:sz w:val="18"/>
                <w:szCs w:val="18"/>
              </w:rPr>
              <w:t xml:space="preserve">MEMÓRIA DE CÁLCULO </w:t>
            </w:r>
          </w:p>
        </w:tc>
        <w:tc>
          <w:tcPr>
            <w:tcW w:w="1673" w:type="dxa"/>
            <w:gridSpan w:val="2"/>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jc w:val="center"/>
              <w:rPr>
                <w:rFonts w:ascii="Calibri" w:hAnsi="Calibri" w:cs="Arial"/>
                <w:b/>
                <w:b/>
                <w:bCs/>
                <w:color w:val="000000"/>
                <w:sz w:val="18"/>
                <w:szCs w:val="18"/>
              </w:rPr>
            </w:pPr>
            <w:r>
              <w:rPr>
                <w:rFonts w:cs="Arial" w:ascii="Calibri" w:hAnsi="Calibri"/>
                <w:b/>
                <w:bCs/>
                <w:color w:val="000000"/>
                <w:sz w:val="18"/>
                <w:szCs w:val="18"/>
              </w:rPr>
              <w:t>FUNDAMENTO</w:t>
            </w:r>
          </w:p>
        </w:tc>
        <w:tc>
          <w:tcPr>
            <w:tcW w:w="148" w:type="dxa"/>
            <w:tcBorders/>
            <w:shd w:color="auto" w:fill="auto" w:val="clear"/>
          </w:tcPr>
          <w:p>
            <w:pPr>
              <w:pStyle w:val="Normal"/>
              <w:rPr/>
            </w:pPr>
            <w:r>
              <w:rPr/>
            </w:r>
          </w:p>
        </w:tc>
      </w:tr>
      <w:tr>
        <w:trPr>
          <w:trHeight w:val="631" w:hRule="atLeast"/>
        </w:trPr>
        <w:tc>
          <w:tcPr>
            <w:tcW w:w="11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sz w:val="18"/>
                <w:szCs w:val="18"/>
              </w:rPr>
            </w:pPr>
            <w:r>
              <w:rPr>
                <w:rFonts w:cs="Arial" w:ascii="Calibri" w:hAnsi="Calibri"/>
                <w:sz w:val="18"/>
                <w:szCs w:val="18"/>
              </w:rPr>
              <w:t>A</w:t>
            </w:r>
          </w:p>
        </w:tc>
        <w:tc>
          <w:tcPr>
            <w:tcW w:w="225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sz w:val="18"/>
                <w:szCs w:val="18"/>
              </w:rPr>
            </w:pPr>
            <w:r>
              <w:rPr>
                <w:rFonts w:cs="Arial" w:ascii="Calibri" w:hAnsi="Calibri"/>
                <w:sz w:val="18"/>
                <w:szCs w:val="18"/>
              </w:rPr>
              <w:t>13º Salário</w:t>
            </w:r>
          </w:p>
        </w:tc>
        <w:tc>
          <w:tcPr>
            <w:tcW w:w="84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sz w:val="18"/>
                <w:szCs w:val="18"/>
              </w:rPr>
            </w:pPr>
            <w:r>
              <w:rPr>
                <w:rFonts w:cs="Arial" w:ascii="Calibri" w:hAnsi="Calibri"/>
                <w:sz w:val="18"/>
                <w:szCs w:val="18"/>
              </w:rPr>
              <w:t>8,33</w:t>
            </w:r>
          </w:p>
        </w:tc>
        <w:tc>
          <w:tcPr>
            <w:tcW w:w="284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sz w:val="18"/>
                <w:szCs w:val="18"/>
              </w:rPr>
            </w:pPr>
            <w:r>
              <w:rPr>
                <w:rFonts w:cs="Arial" w:ascii="Calibri" w:hAnsi="Calibri"/>
                <w:sz w:val="18"/>
                <w:szCs w:val="18"/>
              </w:rPr>
              <w:t>DTS = 1/12 x Remuneração</w:t>
            </w:r>
          </w:p>
        </w:tc>
        <w:tc>
          <w:tcPr>
            <w:tcW w:w="167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sz w:val="18"/>
                <w:szCs w:val="18"/>
              </w:rPr>
            </w:pPr>
            <w:r>
              <w:rPr>
                <w:rFonts w:cs="Arial" w:ascii="Calibri" w:hAnsi="Calibri"/>
                <w:sz w:val="18"/>
                <w:szCs w:val="18"/>
              </w:rPr>
              <w:t>Art.7º, VIII, CF/88</w:t>
            </w:r>
          </w:p>
        </w:tc>
        <w:tc>
          <w:tcPr>
            <w:tcW w:w="148" w:type="dxa"/>
            <w:tcBorders/>
            <w:shd w:color="auto" w:fill="auto" w:val="clear"/>
          </w:tcPr>
          <w:p>
            <w:pPr>
              <w:pStyle w:val="Normal"/>
              <w:rPr/>
            </w:pPr>
            <w:r>
              <w:rPr/>
            </w:r>
          </w:p>
        </w:tc>
      </w:tr>
      <w:tr>
        <w:trPr>
          <w:trHeight w:val="510" w:hRule="atLeast"/>
        </w:trPr>
        <w:tc>
          <w:tcPr>
            <w:tcW w:w="11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sz w:val="18"/>
                <w:szCs w:val="18"/>
              </w:rPr>
            </w:pPr>
            <w:r>
              <w:rPr>
                <w:rFonts w:cs="Arial" w:ascii="Calibri" w:hAnsi="Calibri"/>
                <w:sz w:val="18"/>
                <w:szCs w:val="18"/>
              </w:rPr>
              <w:t>B</w:t>
            </w:r>
          </w:p>
        </w:tc>
        <w:tc>
          <w:tcPr>
            <w:tcW w:w="225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sz w:val="18"/>
                <w:szCs w:val="18"/>
              </w:rPr>
            </w:pPr>
            <w:r>
              <w:rPr>
                <w:rFonts w:cs="Arial" w:ascii="Calibri" w:hAnsi="Calibri"/>
                <w:sz w:val="18"/>
                <w:szCs w:val="18"/>
              </w:rPr>
              <w:t>Férias e Adicional de Férias</w:t>
            </w:r>
          </w:p>
        </w:tc>
        <w:tc>
          <w:tcPr>
            <w:tcW w:w="84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sz w:val="18"/>
                <w:szCs w:val="18"/>
              </w:rPr>
            </w:pPr>
            <w:r>
              <w:rPr>
                <w:rFonts w:cs="Arial" w:ascii="Calibri" w:hAnsi="Calibri"/>
                <w:sz w:val="18"/>
                <w:szCs w:val="18"/>
              </w:rPr>
              <w:t>12,10</w:t>
            </w:r>
          </w:p>
        </w:tc>
        <w:tc>
          <w:tcPr>
            <w:tcW w:w="284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sz w:val="18"/>
                <w:szCs w:val="18"/>
              </w:rPr>
            </w:pPr>
            <w:r>
              <w:rPr>
                <w:rFonts w:cs="Arial" w:ascii="Calibri" w:hAnsi="Calibri"/>
                <w:color w:val="000000"/>
                <w:sz w:val="18"/>
                <w:szCs w:val="18"/>
              </w:rPr>
              <w:t>FAF = 1/11 x R + 1/3 x 1/11 x R</w:t>
            </w:r>
          </w:p>
        </w:tc>
        <w:tc>
          <w:tcPr>
            <w:tcW w:w="167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sz w:val="18"/>
                <w:szCs w:val="18"/>
              </w:rPr>
            </w:pPr>
            <w:r>
              <w:rPr>
                <w:rFonts w:cs="Arial" w:ascii="Calibri" w:hAnsi="Calibri"/>
                <w:sz w:val="18"/>
                <w:szCs w:val="18"/>
              </w:rPr>
              <w:t>% Conta Vinculada- Anexo XII da IN nº 05/2017</w:t>
            </w:r>
          </w:p>
        </w:tc>
        <w:tc>
          <w:tcPr>
            <w:tcW w:w="148" w:type="dxa"/>
            <w:tcBorders/>
            <w:shd w:color="auto" w:fill="auto" w:val="clear"/>
          </w:tcPr>
          <w:p>
            <w:pPr>
              <w:pStyle w:val="Normal"/>
              <w:rPr/>
            </w:pPr>
            <w:r>
              <w:rPr/>
            </w:r>
          </w:p>
        </w:tc>
      </w:tr>
      <w:tr>
        <w:trPr>
          <w:trHeight w:val="283" w:hRule="atLeast"/>
        </w:trPr>
        <w:tc>
          <w:tcPr>
            <w:tcW w:w="3410" w:type="dxa"/>
            <w:gridSpan w:val="4"/>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jc w:val="center"/>
              <w:rPr>
                <w:rFonts w:ascii="Calibri" w:hAnsi="Calibri" w:cs="Arial"/>
                <w:sz w:val="18"/>
                <w:szCs w:val="18"/>
              </w:rPr>
            </w:pPr>
            <w:r>
              <w:rPr>
                <w:rFonts w:cs="Arial" w:ascii="Calibri" w:hAnsi="Calibri"/>
                <w:sz w:val="18"/>
                <w:szCs w:val="18"/>
              </w:rPr>
              <w:t>Total</w:t>
            </w:r>
          </w:p>
        </w:tc>
        <w:tc>
          <w:tcPr>
            <w:tcW w:w="840" w:type="dxa"/>
            <w:gridSpan w:val="2"/>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jc w:val="center"/>
              <w:rPr>
                <w:rFonts w:ascii="Calibri" w:hAnsi="Calibri" w:cs="Arial"/>
                <w:sz w:val="18"/>
                <w:szCs w:val="18"/>
              </w:rPr>
            </w:pPr>
            <w:r>
              <w:rPr>
                <w:rFonts w:cs="Arial" w:ascii="Calibri" w:hAnsi="Calibri"/>
                <w:sz w:val="18"/>
                <w:szCs w:val="18"/>
              </w:rPr>
              <w:t>20,43</w:t>
            </w:r>
          </w:p>
        </w:tc>
        <w:tc>
          <w:tcPr>
            <w:tcW w:w="2846" w:type="dxa"/>
            <w:gridSpan w:val="2"/>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rPr>
                <w:rFonts w:ascii="Calibri" w:hAnsi="Calibri" w:cs="Arial"/>
                <w:sz w:val="18"/>
                <w:szCs w:val="18"/>
              </w:rPr>
            </w:pPr>
            <w:r>
              <w:rPr>
                <w:rFonts w:cs="Arial" w:ascii="Calibri" w:hAnsi="Calibri"/>
                <w:sz w:val="18"/>
                <w:szCs w:val="18"/>
              </w:rPr>
            </w:r>
          </w:p>
        </w:tc>
        <w:tc>
          <w:tcPr>
            <w:tcW w:w="1672"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jc w:val="center"/>
              <w:rPr>
                <w:rFonts w:ascii="Calibri" w:hAnsi="Calibri" w:cs="Arial"/>
                <w:sz w:val="18"/>
                <w:szCs w:val="18"/>
              </w:rPr>
            </w:pPr>
            <w:r>
              <w:rPr>
                <w:rFonts w:cs="Arial" w:ascii="Calibri" w:hAnsi="Calibri"/>
                <w:sz w:val="18"/>
                <w:szCs w:val="18"/>
              </w:rPr>
            </w:r>
          </w:p>
        </w:tc>
        <w:tc>
          <w:tcPr>
            <w:tcW w:w="148" w:type="dxa"/>
            <w:tcBorders/>
            <w:shd w:color="auto" w:fill="auto" w:val="clear"/>
          </w:tcPr>
          <w:p>
            <w:pPr>
              <w:pStyle w:val="Normal"/>
              <w:rPr/>
            </w:pPr>
            <w:r>
              <w:rPr/>
            </w:r>
          </w:p>
        </w:tc>
      </w:tr>
      <w:tr>
        <w:trPr>
          <w:trHeight w:val="283" w:hRule="atLeast"/>
        </w:trPr>
        <w:tc>
          <w:tcPr>
            <w:tcW w:w="1173" w:type="dxa"/>
            <w:gridSpan w:val="2"/>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ind w:right="-4" w:hanging="0"/>
              <w:jc w:val="center"/>
              <w:rPr>
                <w:rFonts w:ascii="Calibri" w:hAnsi="Calibri" w:cs="Arial"/>
                <w:sz w:val="18"/>
                <w:szCs w:val="18"/>
              </w:rPr>
            </w:pPr>
            <w:r>
              <w:rPr>
                <w:rFonts w:cs="Arial" w:ascii="Calibri" w:hAnsi="Calibri"/>
                <w:sz w:val="18"/>
                <w:szCs w:val="18"/>
              </w:rPr>
              <w:t>C</w:t>
            </w:r>
          </w:p>
        </w:tc>
        <w:tc>
          <w:tcPr>
            <w:tcW w:w="2236"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ind w:right="-4" w:hanging="0"/>
              <w:jc w:val="center"/>
              <w:rPr>
                <w:rFonts w:ascii="Calibri" w:hAnsi="Calibri" w:cs="Arial"/>
                <w:sz w:val="18"/>
                <w:szCs w:val="18"/>
              </w:rPr>
            </w:pPr>
            <w:r>
              <w:rPr>
                <w:rFonts w:cs="Arial" w:ascii="Calibri" w:hAnsi="Calibri"/>
                <w:sz w:val="18"/>
                <w:szCs w:val="18"/>
              </w:rPr>
              <w:t>Incidência do Submódulo 2.2 - Encargos previdenciários (GPS), FGTS e outras contribuições</w:t>
            </w:r>
          </w:p>
        </w:tc>
        <w:tc>
          <w:tcPr>
            <w:tcW w:w="840" w:type="dxa"/>
            <w:gridSpan w:val="2"/>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jc w:val="center"/>
              <w:rPr>
                <w:rFonts w:ascii="Calibri" w:hAnsi="Calibri" w:cs="Arial"/>
                <w:sz w:val="18"/>
                <w:szCs w:val="18"/>
              </w:rPr>
            </w:pPr>
            <w:r>
              <w:rPr>
                <w:rFonts w:cs="Arial" w:ascii="Calibri" w:hAnsi="Calibri"/>
                <w:sz w:val="18"/>
                <w:szCs w:val="18"/>
              </w:rPr>
              <w:t>7,82</w:t>
            </w:r>
            <w:r>
              <w:rPr>
                <w:rStyle w:val="Ncoradanotaderodap"/>
                <w:rFonts w:cs="Arial" w:ascii="Calibri" w:hAnsi="Calibri"/>
                <w:sz w:val="18"/>
                <w:szCs w:val="18"/>
              </w:rPr>
              <w:footnoteReference w:id="2"/>
            </w:r>
          </w:p>
        </w:tc>
        <w:tc>
          <w:tcPr>
            <w:tcW w:w="2846" w:type="dxa"/>
            <w:gridSpan w:val="2"/>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rPr>
                <w:rFonts w:ascii="Calibri" w:hAnsi="Calibri" w:cs="Arial"/>
                <w:sz w:val="18"/>
                <w:szCs w:val="18"/>
              </w:rPr>
            </w:pPr>
            <w:r>
              <w:rPr>
                <w:rFonts w:cs="Arial" w:ascii="Calibri" w:hAnsi="Calibri"/>
                <w:sz w:val="18"/>
                <w:szCs w:val="18"/>
              </w:rPr>
              <w:t>=Total da remuneração x Percentual da tabela do Anexo XII</w:t>
            </w:r>
          </w:p>
        </w:tc>
        <w:tc>
          <w:tcPr>
            <w:tcW w:w="1821" w:type="dxa"/>
            <w:gridSpan w:val="3"/>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jc w:val="center"/>
              <w:rPr>
                <w:rFonts w:ascii="Calibri" w:hAnsi="Calibri" w:cs="Arial"/>
                <w:sz w:val="18"/>
                <w:szCs w:val="18"/>
              </w:rPr>
            </w:pPr>
            <w:r>
              <w:rPr>
                <w:rFonts w:cs="Arial" w:ascii="Calibri" w:hAnsi="Calibri"/>
                <w:sz w:val="18"/>
                <w:szCs w:val="18"/>
              </w:rPr>
              <w:t>% Conta Vinculada- Anexo XII da IN nº 05/2017</w:t>
            </w:r>
          </w:p>
        </w:tc>
      </w:tr>
    </w:tbl>
    <w:p>
      <w:pPr>
        <w:pStyle w:val="Normal"/>
        <w:jc w:val="center"/>
        <w:rPr>
          <w:rFonts w:ascii="Calibri" w:hAnsi="Calibri" w:cs="Arial"/>
        </w:rPr>
      </w:pPr>
      <w:r>
        <w:rPr>
          <w:rFonts w:cs="Arial" w:ascii="Calibri" w:hAnsi="Calibri"/>
        </w:rPr>
      </w:r>
    </w:p>
    <w:p>
      <w:pPr>
        <w:pStyle w:val="Normal"/>
        <w:jc w:val="both"/>
        <w:rPr>
          <w:rFonts w:ascii="Arial" w:hAnsi="Arial" w:cs="Arial"/>
          <w:color w:val="000000"/>
          <w:sz w:val="16"/>
          <w:szCs w:val="16"/>
          <w:highlight w:val="white"/>
        </w:rPr>
      </w:pPr>
      <w:r>
        <w:rPr>
          <w:rStyle w:val="Strong"/>
          <w:rFonts w:cs="Arial" w:ascii="Arial" w:hAnsi="Arial"/>
          <w:color w:val="000000"/>
          <w:sz w:val="16"/>
          <w:szCs w:val="16"/>
          <w:shd w:fill="FFFFFF" w:val="clear"/>
        </w:rPr>
        <w:t>Nota 1:</w:t>
      </w:r>
      <w:r>
        <w:rPr>
          <w:rFonts w:cs="Arial" w:ascii="Arial" w:hAnsi="Arial"/>
          <w:color w:val="000000"/>
          <w:sz w:val="16"/>
          <w:szCs w:val="16"/>
          <w:shd w:fill="FFFFFF" w:val="clear"/>
        </w:rPr>
        <w:t> Como a planilha de custos e formação de preços é calculada </w:t>
      </w:r>
      <w:r>
        <w:rPr>
          <w:rFonts w:cs="Arial" w:ascii="Arial" w:hAnsi="Arial"/>
          <w:color w:val="000000"/>
          <w:sz w:val="16"/>
          <w:szCs w:val="16"/>
          <w:u w:val="single"/>
          <w:shd w:fill="FFFFFF" w:val="clear"/>
        </w:rPr>
        <w:t>mensalmente</w:t>
      </w:r>
      <w:r>
        <w:rPr>
          <w:rFonts w:cs="Arial" w:ascii="Arial" w:hAnsi="Arial"/>
          <w:color w:val="000000"/>
          <w:sz w:val="16"/>
          <w:szCs w:val="16"/>
          <w:shd w:fill="FFFFFF" w:val="clear"/>
        </w:rPr>
        <w:t>, provisiona-se proporcionalmente 1/12 (um doze avos) dos valores referentes a gratificação natalina, férias e adicional de férias.</w:t>
      </w:r>
    </w:p>
    <w:p>
      <w:pPr>
        <w:pStyle w:val="Normal"/>
        <w:jc w:val="both"/>
        <w:rPr>
          <w:rFonts w:ascii="Arial" w:hAnsi="Arial" w:cs="Arial"/>
          <w:color w:val="000000"/>
          <w:sz w:val="16"/>
          <w:szCs w:val="16"/>
          <w:highlight w:val="white"/>
        </w:rPr>
      </w:pPr>
      <w:r>
        <w:rPr>
          <w:rFonts w:cs="Arial" w:ascii="Arial" w:hAnsi="Arial"/>
          <w:color w:val="000000"/>
          <w:sz w:val="16"/>
          <w:szCs w:val="16"/>
          <w:highlight w:val="white"/>
        </w:rPr>
      </w:r>
    </w:p>
    <w:p>
      <w:pPr>
        <w:pStyle w:val="Normal"/>
        <w:jc w:val="both"/>
        <w:rPr>
          <w:rFonts w:ascii="Arial" w:hAnsi="Arial" w:cs="Arial"/>
          <w:color w:val="000000"/>
          <w:sz w:val="16"/>
          <w:szCs w:val="16"/>
          <w:highlight w:val="white"/>
        </w:rPr>
      </w:pPr>
      <w:r>
        <w:rPr>
          <w:rStyle w:val="Strong"/>
          <w:rFonts w:cs="Arial" w:ascii="Arial" w:hAnsi="Arial"/>
          <w:color w:val="000000"/>
          <w:sz w:val="16"/>
          <w:szCs w:val="16"/>
          <w:shd w:fill="FFFFFF" w:val="clear"/>
        </w:rPr>
        <w:t>Nota 2:</w:t>
      </w:r>
      <w:r>
        <w:rPr>
          <w:rFonts w:cs="Arial" w:ascii="Arial" w:hAnsi="Arial"/>
          <w:color w:val="000000"/>
          <w:sz w:val="16"/>
          <w:szCs w:val="16"/>
          <w:shd w:fill="FFFFFF" w:val="clear"/>
        </w:rPr>
        <w:t> O adicional de férias contido no Submódulo 2.1 corresponde a 1/3 (um terço) da remuneração que, por sua vez, é divido por 12 (doze) conforme Nota 1 acima.</w:t>
      </w:r>
    </w:p>
    <w:p>
      <w:pPr>
        <w:pStyle w:val="Normal"/>
        <w:jc w:val="both"/>
        <w:rPr>
          <w:rFonts w:ascii="Calibri" w:hAnsi="Calibri" w:cs="Arial"/>
          <w:sz w:val="16"/>
          <w:szCs w:val="16"/>
          <w:u w:val="single"/>
        </w:rPr>
      </w:pPr>
      <w:r>
        <w:rPr>
          <w:rFonts w:cs="Arial" w:ascii="Calibri" w:hAnsi="Calibri"/>
          <w:sz w:val="16"/>
          <w:szCs w:val="16"/>
          <w:u w:val="single"/>
        </w:rPr>
      </w:r>
    </w:p>
    <w:p>
      <w:pPr>
        <w:pStyle w:val="Normal"/>
        <w:jc w:val="both"/>
        <w:rPr>
          <w:rFonts w:ascii="Calibri" w:hAnsi="Calibri" w:cs="Arial"/>
          <w:sz w:val="16"/>
          <w:szCs w:val="16"/>
          <w:u w:val="single"/>
          <w:lang w:val="pt-PT"/>
        </w:rPr>
      </w:pPr>
      <w:r>
        <w:rPr>
          <w:rStyle w:val="Strong"/>
          <w:rFonts w:cs="Arial" w:ascii="Arial" w:hAnsi="Arial"/>
          <w:color w:val="000000"/>
          <w:sz w:val="16"/>
          <w:szCs w:val="16"/>
          <w:shd w:fill="FFFFFF" w:val="clear"/>
        </w:rPr>
        <w:t>Nota 3:</w:t>
      </w:r>
      <w:r>
        <w:rPr>
          <w:rFonts w:cs="Arial" w:ascii="Arial" w:hAnsi="Arial"/>
          <w:color w:val="000000"/>
          <w:sz w:val="16"/>
          <w:szCs w:val="16"/>
          <w:shd w:fill="FFFFFF" w:val="clear"/>
        </w:rPr>
        <w:t xml:space="preserve"> Levando em consideração a vigência contratual prevista no art. 57 da Lei nº 8.666, de 23 de junho de 1993, a rubrica férias tem como objetivo principal suprir a necessidade do pagamento das férias remuneradas ao final do contrato de 12 meses. Esta rubrica, quando da prorrogação contratual, </w:t>
      </w:r>
      <w:r>
        <w:rPr>
          <w:rFonts w:cs="Arial" w:ascii="Arial" w:hAnsi="Arial"/>
          <w:b/>
          <w:color w:val="000000"/>
          <w:sz w:val="16"/>
          <w:szCs w:val="16"/>
          <w:shd w:fill="FFFFFF" w:val="clear"/>
        </w:rPr>
        <w:t>torna-se custo não renovável.</w:t>
      </w:r>
    </w:p>
    <w:p>
      <w:pPr>
        <w:pStyle w:val="Normal"/>
        <w:jc w:val="both"/>
        <w:rPr>
          <w:rFonts w:ascii="Calibri" w:hAnsi="Calibri" w:cs="Arial"/>
          <w:u w:val="single"/>
          <w:lang w:val="pt-PT"/>
        </w:rPr>
      </w:pPr>
      <w:r>
        <w:rPr>
          <w:rFonts w:cs="Arial" w:ascii="Calibri" w:hAnsi="Calibri"/>
          <w:u w:val="single"/>
          <w:lang w:val="pt-PT"/>
        </w:rPr>
      </w:r>
    </w:p>
    <w:p>
      <w:pPr>
        <w:pStyle w:val="Normal"/>
        <w:jc w:val="both"/>
        <w:rPr>
          <w:rFonts w:ascii="Calibri" w:hAnsi="Calibri" w:cs="Arial"/>
          <w:u w:val="single"/>
          <w:lang w:val="pt-PT"/>
        </w:rPr>
      </w:pPr>
      <w:r>
        <w:rPr>
          <w:rFonts w:cs="Arial" w:ascii="Calibri" w:hAnsi="Calibri"/>
          <w:u w:val="single"/>
          <w:lang w:val="pt-PT"/>
        </w:rPr>
      </w:r>
    </w:p>
    <w:p>
      <w:pPr>
        <w:pStyle w:val="Normal"/>
        <w:jc w:val="both"/>
        <w:rPr>
          <w:rFonts w:ascii="Calibri" w:hAnsi="Calibri" w:cs="Arial"/>
          <w:u w:val="single"/>
          <w:lang w:val="pt-PT"/>
        </w:rPr>
      </w:pPr>
      <w:r>
        <w:rPr>
          <w:rFonts w:cs="Arial" w:ascii="Calibri" w:hAnsi="Calibri"/>
          <w:u w:val="single"/>
          <w:lang w:val="pt-PT"/>
        </w:rPr>
        <w:t xml:space="preserve">Submódulo 2.2 - Encargos Previdenciários (GPS), Fundo de Garantia por Tempo de Serviço (FGTS) e outras contribuições. </w:t>
      </w:r>
    </w:p>
    <w:p>
      <w:pPr>
        <w:pStyle w:val="Normal"/>
        <w:rPr>
          <w:rFonts w:ascii="Calibri" w:hAnsi="Calibri" w:cs="Arial"/>
        </w:rPr>
      </w:pPr>
      <w:r>
        <w:rPr>
          <w:rFonts w:cs="Arial" w:ascii="Calibri" w:hAnsi="Calibri"/>
        </w:rPr>
      </w:r>
    </w:p>
    <w:tbl>
      <w:tblPr>
        <w:tblW w:w="9007" w:type="dxa"/>
        <w:jc w:val="center"/>
        <w:tblInd w:w="0" w:type="dxa"/>
        <w:tblCellMar>
          <w:top w:w="0" w:type="dxa"/>
          <w:left w:w="70" w:type="dxa"/>
          <w:bottom w:w="0" w:type="dxa"/>
          <w:right w:w="70" w:type="dxa"/>
        </w:tblCellMar>
        <w:tblLook w:firstRow="1" w:noVBand="1" w:lastRow="0" w:firstColumn="1" w:lastColumn="0" w:noHBand="0" w:val="04a0"/>
      </w:tblPr>
      <w:tblGrid>
        <w:gridCol w:w="843"/>
        <w:gridCol w:w="2126"/>
        <w:gridCol w:w="849"/>
        <w:gridCol w:w="1842"/>
        <w:gridCol w:w="3347"/>
      </w:tblGrid>
      <w:tr>
        <w:trPr>
          <w:trHeight w:val="720" w:hRule="atLeast"/>
        </w:trPr>
        <w:tc>
          <w:tcPr>
            <w:tcW w:w="843"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jc w:val="center"/>
              <w:rPr>
                <w:rFonts w:ascii="Calibri" w:hAnsi="Calibri" w:cs="Arial"/>
                <w:b/>
                <w:b/>
                <w:bCs/>
                <w:color w:val="000000"/>
                <w:sz w:val="18"/>
                <w:szCs w:val="18"/>
              </w:rPr>
            </w:pPr>
            <w:r>
              <w:rPr>
                <w:rFonts w:cs="Arial" w:ascii="Calibri" w:hAnsi="Calibri"/>
                <w:b/>
                <w:bCs/>
                <w:color w:val="000000"/>
                <w:sz w:val="18"/>
                <w:szCs w:val="18"/>
              </w:rPr>
              <w:t>ITEM</w:t>
            </w:r>
          </w:p>
        </w:tc>
        <w:tc>
          <w:tcPr>
            <w:tcW w:w="2126" w:type="dxa"/>
            <w:tcBorders>
              <w:top w:val="single" w:sz="4" w:space="0" w:color="000000"/>
              <w:bottom w:val="single" w:sz="4" w:space="0" w:color="000000"/>
              <w:right w:val="single" w:sz="4" w:space="0" w:color="000000"/>
            </w:tcBorders>
            <w:shd w:color="auto" w:fill="EAF1DD" w:themeFill="accent3" w:themeFillTint="33" w:val="clear"/>
            <w:vAlign w:val="center"/>
          </w:tcPr>
          <w:p>
            <w:pPr>
              <w:pStyle w:val="Normal"/>
              <w:jc w:val="center"/>
              <w:rPr>
                <w:rFonts w:ascii="Calibri" w:hAnsi="Calibri" w:cs="Arial"/>
                <w:b/>
                <w:b/>
                <w:bCs/>
                <w:color w:val="000000"/>
                <w:sz w:val="18"/>
                <w:szCs w:val="18"/>
              </w:rPr>
            </w:pPr>
            <w:r>
              <w:rPr>
                <w:rFonts w:cs="Arial" w:ascii="Calibri" w:hAnsi="Calibri"/>
                <w:b/>
                <w:bCs/>
                <w:color w:val="000000"/>
                <w:sz w:val="18"/>
                <w:szCs w:val="18"/>
              </w:rPr>
              <w:t>DESCRIÇÃO</w:t>
            </w:r>
          </w:p>
        </w:tc>
        <w:tc>
          <w:tcPr>
            <w:tcW w:w="849" w:type="dxa"/>
            <w:tcBorders>
              <w:top w:val="single" w:sz="4" w:space="0" w:color="000000"/>
              <w:bottom w:val="single" w:sz="4" w:space="0" w:color="000000"/>
              <w:right w:val="single" w:sz="4" w:space="0" w:color="000000"/>
            </w:tcBorders>
            <w:shd w:color="auto" w:fill="EAF1DD" w:themeFill="accent3" w:themeFillTint="33" w:val="clear"/>
            <w:vAlign w:val="center"/>
          </w:tcPr>
          <w:p>
            <w:pPr>
              <w:pStyle w:val="Normal"/>
              <w:jc w:val="center"/>
              <w:rPr>
                <w:rFonts w:ascii="Calibri" w:hAnsi="Calibri" w:cs="Arial"/>
                <w:b/>
                <w:b/>
                <w:bCs/>
                <w:color w:val="000000"/>
                <w:sz w:val="18"/>
                <w:szCs w:val="18"/>
              </w:rPr>
            </w:pPr>
            <w:r>
              <w:rPr>
                <w:rFonts w:cs="Arial" w:ascii="Calibri" w:hAnsi="Calibri"/>
                <w:b/>
                <w:bCs/>
                <w:color w:val="000000"/>
                <w:sz w:val="18"/>
                <w:szCs w:val="18"/>
              </w:rPr>
              <w:t>%</w:t>
            </w:r>
          </w:p>
        </w:tc>
        <w:tc>
          <w:tcPr>
            <w:tcW w:w="1842" w:type="dxa"/>
            <w:tcBorders>
              <w:top w:val="single" w:sz="4" w:space="0" w:color="000000"/>
              <w:bottom w:val="single" w:sz="4" w:space="0" w:color="000000"/>
              <w:right w:val="single" w:sz="4" w:space="0" w:color="000000"/>
            </w:tcBorders>
            <w:shd w:color="auto" w:fill="EAF1DD" w:themeFill="accent3" w:themeFillTint="33" w:val="clear"/>
            <w:vAlign w:val="center"/>
          </w:tcPr>
          <w:p>
            <w:pPr>
              <w:pStyle w:val="Normal"/>
              <w:jc w:val="center"/>
              <w:rPr>
                <w:rFonts w:ascii="Calibri" w:hAnsi="Calibri" w:cs="Arial"/>
                <w:b/>
                <w:b/>
                <w:bCs/>
                <w:color w:val="000000"/>
                <w:sz w:val="18"/>
                <w:szCs w:val="18"/>
              </w:rPr>
            </w:pPr>
            <w:r>
              <w:rPr>
                <w:rFonts w:cs="Arial" w:ascii="Calibri" w:hAnsi="Calibri"/>
                <w:b/>
                <w:bCs/>
                <w:color w:val="000000"/>
                <w:sz w:val="18"/>
                <w:szCs w:val="18"/>
              </w:rPr>
              <w:t xml:space="preserve">MEMÓRIA DE CALCULO </w:t>
            </w:r>
          </w:p>
        </w:tc>
        <w:tc>
          <w:tcPr>
            <w:tcW w:w="3347" w:type="dxa"/>
            <w:tcBorders>
              <w:top w:val="single" w:sz="4" w:space="0" w:color="000000"/>
              <w:bottom w:val="single" w:sz="4" w:space="0" w:color="000000"/>
              <w:right w:val="single" w:sz="4" w:space="0" w:color="000000"/>
            </w:tcBorders>
            <w:shd w:color="auto" w:fill="EAF1DD" w:themeFill="accent3" w:themeFillTint="33" w:val="clear"/>
            <w:vAlign w:val="center"/>
          </w:tcPr>
          <w:p>
            <w:pPr>
              <w:pStyle w:val="Normal"/>
              <w:jc w:val="center"/>
              <w:rPr>
                <w:rFonts w:ascii="Calibri" w:hAnsi="Calibri" w:cs="Arial"/>
                <w:b/>
                <w:b/>
                <w:bCs/>
                <w:color w:val="000000"/>
                <w:sz w:val="18"/>
                <w:szCs w:val="18"/>
              </w:rPr>
            </w:pPr>
            <w:r>
              <w:rPr>
                <w:rFonts w:cs="Arial" w:ascii="Calibri" w:hAnsi="Calibri"/>
                <w:b/>
                <w:bCs/>
                <w:color w:val="000000"/>
                <w:sz w:val="18"/>
                <w:szCs w:val="18"/>
              </w:rPr>
              <w:t>FUNDAMENTO</w:t>
            </w:r>
          </w:p>
        </w:tc>
      </w:tr>
      <w:tr>
        <w:trPr>
          <w:trHeight w:val="316" w:hRule="atLeast"/>
        </w:trPr>
        <w:tc>
          <w:tcPr>
            <w:tcW w:w="843"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color w:val="000000"/>
                <w:sz w:val="18"/>
                <w:szCs w:val="18"/>
              </w:rPr>
            </w:pPr>
            <w:r>
              <w:rPr>
                <w:rFonts w:cs="Arial" w:ascii="Calibri" w:hAnsi="Calibri"/>
                <w:color w:val="000000"/>
                <w:sz w:val="18"/>
                <w:szCs w:val="18"/>
              </w:rPr>
              <w:t>A</w:t>
            </w:r>
          </w:p>
        </w:tc>
        <w:tc>
          <w:tcPr>
            <w:tcW w:w="2126" w:type="dxa"/>
            <w:tcBorders>
              <w:bottom w:val="single" w:sz="4" w:space="0" w:color="000000"/>
              <w:right w:val="single" w:sz="4" w:space="0" w:color="000000"/>
            </w:tcBorders>
            <w:shd w:color="auto" w:fill="auto" w:val="clear"/>
            <w:vAlign w:val="center"/>
          </w:tcPr>
          <w:p>
            <w:pPr>
              <w:pStyle w:val="Normal"/>
              <w:rPr>
                <w:rFonts w:ascii="Calibri" w:hAnsi="Calibri" w:cs="Arial"/>
                <w:color w:val="000000"/>
                <w:sz w:val="18"/>
                <w:szCs w:val="18"/>
              </w:rPr>
            </w:pPr>
            <w:r>
              <w:rPr>
                <w:rFonts w:cs="Arial" w:ascii="Calibri" w:hAnsi="Calibri"/>
                <w:color w:val="000000"/>
                <w:sz w:val="18"/>
                <w:szCs w:val="18"/>
              </w:rPr>
              <w:t>INSS</w:t>
            </w:r>
          </w:p>
        </w:tc>
        <w:tc>
          <w:tcPr>
            <w:tcW w:w="849" w:type="dxa"/>
            <w:tcBorders>
              <w:bottom w:val="single" w:sz="4" w:space="0" w:color="000000"/>
              <w:right w:val="single" w:sz="4" w:space="0" w:color="000000"/>
            </w:tcBorders>
            <w:shd w:color="auto" w:fill="auto" w:val="clear"/>
            <w:vAlign w:val="center"/>
          </w:tcPr>
          <w:p>
            <w:pPr>
              <w:pStyle w:val="Normal"/>
              <w:jc w:val="center"/>
              <w:rPr>
                <w:rFonts w:ascii="Calibri" w:hAnsi="Calibri" w:cs="Arial"/>
                <w:color w:val="000000"/>
                <w:sz w:val="18"/>
                <w:szCs w:val="18"/>
              </w:rPr>
            </w:pPr>
            <w:r>
              <w:rPr>
                <w:rFonts w:cs="Arial" w:ascii="Calibri" w:hAnsi="Calibri"/>
                <w:color w:val="000000"/>
                <w:sz w:val="18"/>
                <w:szCs w:val="18"/>
              </w:rPr>
              <w:t>20,0</w:t>
            </w:r>
          </w:p>
        </w:tc>
        <w:tc>
          <w:tcPr>
            <w:tcW w:w="1842" w:type="dxa"/>
            <w:tcBorders>
              <w:bottom w:val="single" w:sz="4" w:space="0" w:color="000000"/>
              <w:right w:val="single" w:sz="4" w:space="0" w:color="000000"/>
            </w:tcBorders>
            <w:shd w:color="auto" w:fill="auto" w:val="clear"/>
            <w:vAlign w:val="center"/>
          </w:tcPr>
          <w:p>
            <w:pPr>
              <w:pStyle w:val="Normal"/>
              <w:jc w:val="center"/>
              <w:rPr>
                <w:rFonts w:ascii="Calibri" w:hAnsi="Calibri" w:cs="Arial"/>
                <w:sz w:val="18"/>
                <w:szCs w:val="18"/>
              </w:rPr>
            </w:pPr>
            <w:r>
              <w:rPr>
                <w:rFonts w:cs="Arial" w:ascii="Calibri" w:hAnsi="Calibri"/>
                <w:sz w:val="16"/>
                <w:szCs w:val="16"/>
              </w:rPr>
              <w:t xml:space="preserve">Total da remuneração </w:t>
            </w:r>
            <w:r>
              <w:rPr>
                <w:rFonts w:cs="Arial" w:ascii="Calibri" w:hAnsi="Calibri"/>
                <w:sz w:val="18"/>
                <w:szCs w:val="18"/>
              </w:rPr>
              <w:t>x %</w:t>
            </w:r>
          </w:p>
        </w:tc>
        <w:tc>
          <w:tcPr>
            <w:tcW w:w="3347" w:type="dxa"/>
            <w:tcBorders>
              <w:bottom w:val="single" w:sz="4" w:space="0" w:color="000000"/>
              <w:right w:val="single" w:sz="4" w:space="0" w:color="000000"/>
            </w:tcBorders>
            <w:shd w:color="auto" w:fill="auto" w:val="clear"/>
            <w:vAlign w:val="center"/>
          </w:tcPr>
          <w:p>
            <w:pPr>
              <w:pStyle w:val="Normal"/>
              <w:rPr>
                <w:rFonts w:ascii="Calibri" w:hAnsi="Calibri" w:cs="Arial"/>
                <w:color w:val="000000"/>
                <w:sz w:val="18"/>
                <w:szCs w:val="18"/>
              </w:rPr>
            </w:pPr>
            <w:r>
              <w:rPr>
                <w:rFonts w:cs="Arial" w:ascii="Calibri" w:hAnsi="Calibri"/>
                <w:color w:val="000000"/>
                <w:sz w:val="18"/>
                <w:szCs w:val="18"/>
              </w:rPr>
              <w:t>Art.22, Inciso I da Lei 8.212/91</w:t>
            </w:r>
          </w:p>
        </w:tc>
      </w:tr>
      <w:tr>
        <w:trPr>
          <w:trHeight w:val="300" w:hRule="atLeast"/>
        </w:trPr>
        <w:tc>
          <w:tcPr>
            <w:tcW w:w="843"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color w:val="000000"/>
                <w:sz w:val="18"/>
                <w:szCs w:val="18"/>
              </w:rPr>
            </w:pPr>
            <w:r>
              <w:rPr>
                <w:rFonts w:cs="Arial" w:ascii="Calibri" w:hAnsi="Calibri"/>
                <w:color w:val="000000"/>
                <w:sz w:val="18"/>
                <w:szCs w:val="18"/>
              </w:rPr>
              <w:t>B</w:t>
            </w:r>
          </w:p>
        </w:tc>
        <w:tc>
          <w:tcPr>
            <w:tcW w:w="2126" w:type="dxa"/>
            <w:tcBorders>
              <w:bottom w:val="single" w:sz="4" w:space="0" w:color="000000"/>
              <w:right w:val="single" w:sz="4" w:space="0" w:color="000000"/>
            </w:tcBorders>
            <w:shd w:color="auto" w:fill="auto" w:val="clear"/>
            <w:vAlign w:val="center"/>
          </w:tcPr>
          <w:p>
            <w:pPr>
              <w:pStyle w:val="Normal"/>
              <w:rPr>
                <w:rFonts w:ascii="Calibri" w:hAnsi="Calibri" w:cs="Arial"/>
                <w:color w:val="000000"/>
                <w:sz w:val="18"/>
                <w:szCs w:val="18"/>
              </w:rPr>
            </w:pPr>
            <w:r>
              <w:rPr>
                <w:rFonts w:cs="Arial" w:ascii="Calibri" w:hAnsi="Calibri"/>
                <w:color w:val="000000"/>
                <w:sz w:val="18"/>
                <w:szCs w:val="18"/>
              </w:rPr>
              <w:t>SALÁRIO EDUCAÇÃO</w:t>
            </w:r>
          </w:p>
        </w:tc>
        <w:tc>
          <w:tcPr>
            <w:tcW w:w="849" w:type="dxa"/>
            <w:tcBorders>
              <w:bottom w:val="single" w:sz="4" w:space="0" w:color="000000"/>
              <w:right w:val="single" w:sz="4" w:space="0" w:color="000000"/>
            </w:tcBorders>
            <w:shd w:color="auto" w:fill="auto" w:val="clear"/>
            <w:vAlign w:val="center"/>
          </w:tcPr>
          <w:p>
            <w:pPr>
              <w:pStyle w:val="Normal"/>
              <w:jc w:val="center"/>
              <w:rPr>
                <w:rFonts w:ascii="Calibri" w:hAnsi="Calibri" w:cs="Arial"/>
                <w:color w:val="000000"/>
                <w:sz w:val="18"/>
                <w:szCs w:val="18"/>
              </w:rPr>
            </w:pPr>
            <w:r>
              <w:rPr>
                <w:rFonts w:cs="Arial" w:ascii="Calibri" w:hAnsi="Calibri"/>
                <w:color w:val="000000"/>
                <w:sz w:val="18"/>
                <w:szCs w:val="18"/>
              </w:rPr>
              <w:t>2,50</w:t>
            </w:r>
          </w:p>
        </w:tc>
        <w:tc>
          <w:tcPr>
            <w:tcW w:w="1842" w:type="dxa"/>
            <w:tcBorders>
              <w:bottom w:val="single" w:sz="4" w:space="0" w:color="000000"/>
              <w:right w:val="single" w:sz="4" w:space="0" w:color="000000"/>
            </w:tcBorders>
            <w:shd w:color="auto" w:fill="auto" w:val="clear"/>
            <w:vAlign w:val="center"/>
          </w:tcPr>
          <w:p>
            <w:pPr>
              <w:pStyle w:val="Normal"/>
              <w:jc w:val="center"/>
              <w:rPr>
                <w:rFonts w:ascii="Calibri" w:hAnsi="Calibri" w:cs="Arial"/>
                <w:sz w:val="18"/>
                <w:szCs w:val="18"/>
              </w:rPr>
            </w:pPr>
            <w:r>
              <w:rPr>
                <w:rFonts w:cs="Arial" w:ascii="Calibri" w:hAnsi="Calibri"/>
                <w:sz w:val="16"/>
                <w:szCs w:val="16"/>
              </w:rPr>
              <w:t xml:space="preserve">Total da remuneração </w:t>
            </w:r>
            <w:r>
              <w:rPr>
                <w:rFonts w:cs="Arial" w:ascii="Calibri" w:hAnsi="Calibri"/>
                <w:sz w:val="18"/>
                <w:szCs w:val="18"/>
              </w:rPr>
              <w:t>x %</w:t>
            </w:r>
          </w:p>
        </w:tc>
        <w:tc>
          <w:tcPr>
            <w:tcW w:w="3347" w:type="dxa"/>
            <w:tcBorders>
              <w:bottom w:val="single" w:sz="4" w:space="0" w:color="000000"/>
              <w:right w:val="single" w:sz="4" w:space="0" w:color="000000"/>
            </w:tcBorders>
            <w:shd w:color="auto" w:fill="auto" w:val="clear"/>
            <w:vAlign w:val="center"/>
          </w:tcPr>
          <w:p>
            <w:pPr>
              <w:pStyle w:val="Normal"/>
              <w:rPr>
                <w:rFonts w:ascii="Calibri" w:hAnsi="Calibri" w:cs="Arial"/>
                <w:color w:val="000000"/>
                <w:sz w:val="18"/>
                <w:szCs w:val="18"/>
              </w:rPr>
            </w:pPr>
            <w:r>
              <w:rPr>
                <w:rFonts w:cs="Arial" w:ascii="Calibri" w:hAnsi="Calibri"/>
                <w:color w:val="000000"/>
                <w:sz w:val="18"/>
                <w:szCs w:val="18"/>
              </w:rPr>
              <w:t>Art.3º, Inciso I, Decreto 87.043/82</w:t>
            </w:r>
          </w:p>
        </w:tc>
      </w:tr>
      <w:tr>
        <w:trPr>
          <w:trHeight w:val="330" w:hRule="atLeast"/>
        </w:trPr>
        <w:tc>
          <w:tcPr>
            <w:tcW w:w="843"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b/>
                <w:b/>
                <w:color w:val="FF0000"/>
                <w:sz w:val="18"/>
                <w:szCs w:val="18"/>
              </w:rPr>
            </w:pPr>
            <w:r>
              <w:rPr>
                <w:rFonts w:cs="Arial" w:ascii="Calibri" w:hAnsi="Calibri"/>
                <w:b/>
                <w:color w:val="FF0000"/>
                <w:sz w:val="18"/>
                <w:szCs w:val="18"/>
              </w:rPr>
              <w:t>C</w:t>
            </w:r>
          </w:p>
        </w:tc>
        <w:tc>
          <w:tcPr>
            <w:tcW w:w="2126" w:type="dxa"/>
            <w:tcBorders>
              <w:bottom w:val="single" w:sz="4" w:space="0" w:color="000000"/>
              <w:right w:val="single" w:sz="4" w:space="0" w:color="000000"/>
            </w:tcBorders>
            <w:shd w:color="auto" w:fill="auto" w:val="clear"/>
            <w:vAlign w:val="center"/>
          </w:tcPr>
          <w:p>
            <w:pPr>
              <w:pStyle w:val="Normal"/>
              <w:rPr>
                <w:rFonts w:ascii="Calibri" w:hAnsi="Calibri" w:cs="Arial"/>
                <w:b/>
                <w:b/>
                <w:color w:val="FF0000"/>
                <w:sz w:val="18"/>
                <w:szCs w:val="18"/>
              </w:rPr>
            </w:pPr>
            <w:r>
              <w:rPr>
                <w:rFonts w:cs="Arial" w:ascii="Calibri" w:hAnsi="Calibri"/>
                <w:b/>
                <w:color w:val="FF0000"/>
                <w:sz w:val="18"/>
                <w:szCs w:val="18"/>
              </w:rPr>
              <w:t>Seguro de Acidente de Trabalho (SAT)</w:t>
            </w:r>
          </w:p>
        </w:tc>
        <w:tc>
          <w:tcPr>
            <w:tcW w:w="849" w:type="dxa"/>
            <w:tcBorders>
              <w:bottom w:val="single" w:sz="4" w:space="0" w:color="000000"/>
              <w:right w:val="single" w:sz="4" w:space="0" w:color="000000"/>
            </w:tcBorders>
            <w:shd w:color="auto" w:fill="auto" w:val="clear"/>
            <w:vAlign w:val="center"/>
          </w:tcPr>
          <w:p>
            <w:pPr>
              <w:pStyle w:val="Normal"/>
              <w:jc w:val="center"/>
              <w:rPr>
                <w:rFonts w:ascii="Calibri" w:hAnsi="Calibri" w:cs="Arial"/>
                <w:b/>
                <w:b/>
                <w:color w:val="FF0000"/>
                <w:sz w:val="18"/>
                <w:szCs w:val="18"/>
              </w:rPr>
            </w:pPr>
            <w:r>
              <w:rPr>
                <w:rFonts w:cs="Arial" w:ascii="Calibri" w:hAnsi="Calibri"/>
                <w:b/>
                <w:color w:val="FF0000"/>
                <w:sz w:val="18"/>
                <w:szCs w:val="18"/>
              </w:rPr>
              <w:t>6,0</w:t>
            </w:r>
          </w:p>
        </w:tc>
        <w:tc>
          <w:tcPr>
            <w:tcW w:w="1842" w:type="dxa"/>
            <w:tcBorders>
              <w:bottom w:val="single" w:sz="4" w:space="0" w:color="000000"/>
              <w:right w:val="single" w:sz="4" w:space="0" w:color="000000"/>
            </w:tcBorders>
            <w:shd w:color="auto" w:fill="auto" w:val="clear"/>
            <w:vAlign w:val="center"/>
          </w:tcPr>
          <w:p>
            <w:pPr>
              <w:pStyle w:val="Normal"/>
              <w:rPr>
                <w:rFonts w:ascii="Calibri" w:hAnsi="Calibri" w:cs="Arial"/>
                <w:sz w:val="18"/>
                <w:szCs w:val="18"/>
              </w:rPr>
            </w:pPr>
            <w:r>
              <w:rPr>
                <w:rFonts w:ascii="Calibri" w:hAnsi="Calibri" w:asciiTheme="minorHAnsi" w:hAnsiTheme="minorHAnsi"/>
                <w:sz w:val="18"/>
                <w:szCs w:val="18"/>
                <w:shd w:fill="FFFFFF" w:val="clear"/>
              </w:rPr>
              <w:t xml:space="preserve"> </w:t>
            </w:r>
            <w:r>
              <w:rPr>
                <w:rFonts w:cs="Arial" w:ascii="Calibri" w:hAnsi="Calibri"/>
                <w:sz w:val="16"/>
                <w:szCs w:val="16"/>
              </w:rPr>
              <w:t xml:space="preserve">Total da remuneração </w:t>
            </w:r>
            <w:r>
              <w:rPr>
                <w:rFonts w:cs="Arial" w:ascii="Calibri" w:hAnsi="Calibri"/>
                <w:sz w:val="18"/>
                <w:szCs w:val="18"/>
              </w:rPr>
              <w:t>x %</w:t>
            </w:r>
          </w:p>
          <w:p>
            <w:pPr>
              <w:pStyle w:val="Normal"/>
              <w:rPr>
                <w:rFonts w:ascii="Calibri" w:hAnsi="Calibri" w:asciiTheme="minorHAnsi" w:hAnsiTheme="minorHAnsi"/>
                <w:sz w:val="16"/>
                <w:szCs w:val="16"/>
                <w:highlight w:val="white"/>
              </w:rPr>
            </w:pPr>
            <w:r>
              <w:rPr>
                <w:rFonts w:ascii="Calibri" w:hAnsi="Calibri" w:asciiTheme="minorHAnsi" w:hAnsiTheme="minorHAnsi"/>
                <w:sz w:val="16"/>
                <w:szCs w:val="16"/>
                <w:shd w:fill="FFFFFF" w:val="clear"/>
              </w:rPr>
              <w:t>RAT: 1%, 2% ou </w:t>
            </w:r>
            <w:r>
              <w:rPr>
                <w:rStyle w:val="Strong"/>
                <w:rFonts w:ascii="Calibri" w:hAnsi="Calibri" w:asciiTheme="minorHAnsi" w:hAnsiTheme="minorHAnsi"/>
                <w:b w:val="false"/>
                <w:sz w:val="16"/>
                <w:szCs w:val="16"/>
                <w:shd w:fill="FFFFFF" w:val="clear"/>
              </w:rPr>
              <w:t>3%</w:t>
            </w:r>
            <w:r>
              <w:rPr>
                <w:rFonts w:ascii="Calibri" w:hAnsi="Calibri" w:asciiTheme="minorHAnsi" w:hAnsiTheme="minorHAnsi"/>
                <w:sz w:val="16"/>
                <w:szCs w:val="16"/>
                <w:shd w:fill="FFFFFF" w:val="clear"/>
              </w:rPr>
              <w:t> x </w:t>
            </w:r>
            <w:r>
              <w:rPr>
                <w:rStyle w:val="Qtiplink"/>
                <w:rFonts w:ascii="Calibri" w:hAnsi="Calibri" w:asciiTheme="minorHAnsi" w:hAnsiTheme="minorHAnsi"/>
                <w:sz w:val="16"/>
                <w:szCs w:val="16"/>
                <w:shd w:fill="FFFFFF" w:val="clear"/>
              </w:rPr>
              <w:t>FAP</w:t>
            </w:r>
            <w:r>
              <w:rPr>
                <w:rFonts w:ascii="Calibri" w:hAnsi="Calibri" w:asciiTheme="minorHAnsi" w:hAnsiTheme="minorHAnsi"/>
                <w:sz w:val="16"/>
                <w:szCs w:val="16"/>
                <w:shd w:fill="FFFFFF" w:val="clear"/>
              </w:rPr>
              <w:t xml:space="preserve">: 0,5 a 2% </w:t>
            </w:r>
          </w:p>
          <w:p>
            <w:pPr>
              <w:pStyle w:val="Normal"/>
              <w:rPr>
                <w:rFonts w:ascii="Calibri" w:hAnsi="Calibri" w:asciiTheme="minorHAnsi" w:hAnsiTheme="minorHAnsi"/>
                <w:sz w:val="16"/>
                <w:szCs w:val="16"/>
                <w:highlight w:val="white"/>
              </w:rPr>
            </w:pPr>
            <w:r>
              <w:rPr>
                <w:rFonts w:asciiTheme="minorHAnsi" w:hAnsiTheme="minorHAnsi" w:ascii="Calibri" w:hAnsi="Calibri"/>
                <w:sz w:val="16"/>
                <w:szCs w:val="16"/>
                <w:highlight w:val="white"/>
              </w:rPr>
            </w:r>
          </w:p>
          <w:p>
            <w:pPr>
              <w:pStyle w:val="Normal"/>
              <w:rPr>
                <w:rFonts w:ascii="Calibri" w:hAnsi="Calibri" w:cs="Arial" w:asciiTheme="minorHAnsi" w:hAnsiTheme="minorHAnsi"/>
                <w:color w:val="000000"/>
                <w:sz w:val="18"/>
                <w:szCs w:val="18"/>
              </w:rPr>
            </w:pPr>
            <w:r>
              <w:rPr>
                <w:rFonts w:cs="Arial" w:ascii="Arial" w:hAnsi="Arial"/>
                <w:color w:val="000000"/>
                <w:shd w:fill="FFFFFF" w:val="clear"/>
              </w:rPr>
              <w:t>CNAE 8129-0/00</w:t>
            </w:r>
            <w:r>
              <w:rPr>
                <w:rFonts w:ascii="Calibri" w:hAnsi="Calibri" w:asciiTheme="minorHAnsi" w:hAnsiTheme="minorHAnsi"/>
                <w:sz w:val="16"/>
                <w:szCs w:val="16"/>
                <w:shd w:fill="FFFFFF" w:val="clear"/>
              </w:rPr>
              <w:t xml:space="preserve">= RAT </w:t>
            </w:r>
            <w:r>
              <w:rPr>
                <w:rFonts w:ascii="Calibri" w:hAnsi="Calibri" w:asciiTheme="minorHAnsi" w:hAnsiTheme="minorHAnsi"/>
                <w:b/>
                <w:sz w:val="16"/>
                <w:szCs w:val="16"/>
                <w:shd w:fill="FFFFFF" w:val="clear"/>
              </w:rPr>
              <w:t>3% x</w:t>
            </w:r>
            <w:r>
              <w:rPr>
                <w:rFonts w:ascii="Calibri" w:hAnsi="Calibri" w:asciiTheme="minorHAnsi" w:hAnsiTheme="minorHAnsi"/>
                <w:b/>
                <w:color w:val="FF0000"/>
                <w:sz w:val="16"/>
                <w:szCs w:val="16"/>
                <w:shd w:fill="FFFFFF" w:val="clear"/>
              </w:rPr>
              <w:t xml:space="preserve"> 2% FAP </w:t>
            </w:r>
            <w:r>
              <w:rPr>
                <w:rFonts w:ascii="Calibri" w:hAnsi="Calibri" w:asciiTheme="minorHAnsi" w:hAnsiTheme="minorHAnsi"/>
                <w:sz w:val="16"/>
                <w:szCs w:val="16"/>
                <w:shd w:fill="FFFFFF" w:val="clear"/>
              </w:rPr>
              <w:t>(considerando a maior)</w:t>
            </w:r>
            <w:r>
              <w:rPr>
                <w:rFonts w:cs="Arial" w:ascii="Calibri" w:hAnsi="Calibri" w:asciiTheme="minorHAnsi" w:hAnsiTheme="minorHAnsi"/>
                <w:sz w:val="18"/>
                <w:szCs w:val="18"/>
              </w:rPr>
              <w:t xml:space="preserve"> </w:t>
            </w:r>
          </w:p>
        </w:tc>
        <w:tc>
          <w:tcPr>
            <w:tcW w:w="3347" w:type="dxa"/>
            <w:tcBorders>
              <w:bottom w:val="single" w:sz="4" w:space="0" w:color="000000"/>
              <w:right w:val="single" w:sz="4" w:space="0" w:color="000000"/>
            </w:tcBorders>
            <w:shd w:color="auto" w:fill="auto" w:val="clear"/>
            <w:vAlign w:val="center"/>
          </w:tcPr>
          <w:p>
            <w:pPr>
              <w:pStyle w:val="Normal"/>
              <w:jc w:val="both"/>
              <w:rPr>
                <w:rFonts w:ascii="Calibri" w:hAnsi="Calibri" w:cs="Arial"/>
                <w:sz w:val="18"/>
                <w:szCs w:val="18"/>
              </w:rPr>
            </w:pPr>
            <w:r>
              <w:rPr>
                <w:rFonts w:cs="Arial" w:ascii="Calibri" w:hAnsi="Calibri"/>
                <w:sz w:val="18"/>
                <w:szCs w:val="18"/>
              </w:rPr>
              <w:t xml:space="preserve">RATxFAT – </w:t>
            </w:r>
            <w:r>
              <w:rPr>
                <w:rStyle w:val="Nfase"/>
                <w:rFonts w:ascii="Calibri" w:hAnsi="Calibri" w:asciiTheme="minorHAnsi" w:hAnsiTheme="minorHAnsi"/>
                <w:sz w:val="18"/>
                <w:szCs w:val="18"/>
                <w:shd w:fill="FFFFFF" w:val="clear"/>
              </w:rPr>
              <w:t>Fundamentação: art. 22, inciso II, alíneas ‘b’ e ‘c’, da Lei nº 8.212/91.</w:t>
            </w:r>
            <w:r>
              <w:rPr>
                <w:rFonts w:ascii="Calibri" w:hAnsi="Calibri" w:asciiTheme="minorHAnsi" w:hAnsiTheme="minorHAnsi"/>
                <w:sz w:val="18"/>
                <w:szCs w:val="18"/>
                <w:shd w:fill="FFFFFF" w:val="clear"/>
              </w:rPr>
              <w:t> C</w:t>
            </w:r>
            <w:r>
              <w:rPr>
                <w:rFonts w:cs="Arial" w:ascii="Calibri" w:hAnsi="Calibri"/>
                <w:sz w:val="18"/>
                <w:szCs w:val="18"/>
              </w:rPr>
              <w:t>onforme GFIP do mês anterior à data da proposta – Para estimativa, considerado o maior valor possível.</w:t>
            </w:r>
          </w:p>
        </w:tc>
      </w:tr>
      <w:tr>
        <w:trPr>
          <w:trHeight w:val="374" w:hRule="atLeast"/>
        </w:trPr>
        <w:tc>
          <w:tcPr>
            <w:tcW w:w="843"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color w:val="000000"/>
                <w:sz w:val="18"/>
                <w:szCs w:val="18"/>
              </w:rPr>
            </w:pPr>
            <w:r>
              <w:rPr>
                <w:rFonts w:cs="Arial" w:ascii="Calibri" w:hAnsi="Calibri"/>
                <w:color w:val="000000"/>
                <w:sz w:val="18"/>
                <w:szCs w:val="18"/>
              </w:rPr>
              <w:t>D</w:t>
            </w:r>
          </w:p>
        </w:tc>
        <w:tc>
          <w:tcPr>
            <w:tcW w:w="2126" w:type="dxa"/>
            <w:tcBorders>
              <w:bottom w:val="single" w:sz="4" w:space="0" w:color="000000"/>
              <w:right w:val="single" w:sz="4" w:space="0" w:color="000000"/>
            </w:tcBorders>
            <w:shd w:color="auto" w:fill="auto" w:val="clear"/>
            <w:vAlign w:val="center"/>
          </w:tcPr>
          <w:p>
            <w:pPr>
              <w:pStyle w:val="Normal"/>
              <w:rPr>
                <w:rFonts w:ascii="Calibri" w:hAnsi="Calibri" w:cs="Arial"/>
                <w:color w:val="000000"/>
                <w:sz w:val="18"/>
                <w:szCs w:val="18"/>
              </w:rPr>
            </w:pPr>
            <w:r>
              <w:rPr>
                <w:rFonts w:cs="Arial" w:ascii="Calibri" w:hAnsi="Calibri"/>
                <w:color w:val="000000"/>
                <w:sz w:val="18"/>
                <w:szCs w:val="18"/>
              </w:rPr>
              <w:t>SESC OU SESI</w:t>
            </w:r>
          </w:p>
        </w:tc>
        <w:tc>
          <w:tcPr>
            <w:tcW w:w="849" w:type="dxa"/>
            <w:tcBorders>
              <w:bottom w:val="single" w:sz="4" w:space="0" w:color="000000"/>
              <w:right w:val="single" w:sz="4" w:space="0" w:color="000000"/>
            </w:tcBorders>
            <w:shd w:color="auto" w:fill="auto" w:val="clear"/>
            <w:vAlign w:val="center"/>
          </w:tcPr>
          <w:p>
            <w:pPr>
              <w:pStyle w:val="Normal"/>
              <w:jc w:val="center"/>
              <w:rPr>
                <w:rFonts w:ascii="Calibri" w:hAnsi="Calibri" w:cs="Arial"/>
                <w:color w:val="000000"/>
                <w:sz w:val="18"/>
                <w:szCs w:val="18"/>
              </w:rPr>
            </w:pPr>
            <w:r>
              <w:rPr>
                <w:rFonts w:cs="Arial" w:ascii="Calibri" w:hAnsi="Calibri"/>
                <w:color w:val="000000"/>
                <w:sz w:val="18"/>
                <w:szCs w:val="18"/>
              </w:rPr>
              <w:t>1,50</w:t>
            </w:r>
          </w:p>
        </w:tc>
        <w:tc>
          <w:tcPr>
            <w:tcW w:w="1842" w:type="dxa"/>
            <w:tcBorders>
              <w:bottom w:val="single" w:sz="4" w:space="0" w:color="000000"/>
              <w:right w:val="single" w:sz="4" w:space="0" w:color="000000"/>
            </w:tcBorders>
            <w:shd w:color="auto" w:fill="auto" w:val="clear"/>
          </w:tcPr>
          <w:p>
            <w:pPr>
              <w:pStyle w:val="Normal"/>
              <w:rPr/>
            </w:pPr>
            <w:r>
              <w:rPr>
                <w:rFonts w:cs="Arial" w:ascii="Calibri" w:hAnsi="Calibri"/>
                <w:sz w:val="16"/>
                <w:szCs w:val="16"/>
              </w:rPr>
              <w:t xml:space="preserve">Total da remuneração </w:t>
            </w:r>
            <w:r>
              <w:rPr>
                <w:rFonts w:cs="Arial" w:ascii="Calibri" w:hAnsi="Calibri"/>
                <w:sz w:val="18"/>
                <w:szCs w:val="18"/>
              </w:rPr>
              <w:t>x %</w:t>
            </w:r>
          </w:p>
        </w:tc>
        <w:tc>
          <w:tcPr>
            <w:tcW w:w="3347" w:type="dxa"/>
            <w:tcBorders>
              <w:bottom w:val="single" w:sz="4" w:space="0" w:color="000000"/>
              <w:right w:val="single" w:sz="4" w:space="0" w:color="000000"/>
            </w:tcBorders>
            <w:shd w:color="auto" w:fill="auto" w:val="clear"/>
            <w:vAlign w:val="center"/>
          </w:tcPr>
          <w:p>
            <w:pPr>
              <w:pStyle w:val="Normal"/>
              <w:rPr>
                <w:rFonts w:ascii="Calibri" w:hAnsi="Calibri" w:cs="Arial"/>
                <w:color w:val="000000"/>
                <w:sz w:val="18"/>
                <w:szCs w:val="18"/>
              </w:rPr>
            </w:pPr>
            <w:r>
              <w:rPr>
                <w:rFonts w:cs="Arial" w:ascii="Calibri" w:hAnsi="Calibri"/>
                <w:color w:val="000000"/>
                <w:sz w:val="18"/>
                <w:szCs w:val="18"/>
              </w:rPr>
              <w:t>Art.3º, da lei 8036/90</w:t>
            </w:r>
          </w:p>
        </w:tc>
      </w:tr>
      <w:tr>
        <w:trPr>
          <w:trHeight w:val="266" w:hRule="atLeast"/>
        </w:trPr>
        <w:tc>
          <w:tcPr>
            <w:tcW w:w="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color w:val="000000"/>
                <w:sz w:val="18"/>
                <w:szCs w:val="18"/>
              </w:rPr>
            </w:pPr>
            <w:r>
              <w:rPr>
                <w:rFonts w:cs="Arial" w:ascii="Calibri" w:hAnsi="Calibri"/>
                <w:color w:val="000000"/>
                <w:sz w:val="18"/>
                <w:szCs w:val="18"/>
              </w:rPr>
              <w:t>E</w:t>
            </w:r>
          </w:p>
        </w:tc>
        <w:tc>
          <w:tcPr>
            <w:tcW w:w="21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color w:val="000000"/>
                <w:sz w:val="18"/>
                <w:szCs w:val="18"/>
              </w:rPr>
            </w:pPr>
            <w:r>
              <w:rPr>
                <w:rFonts w:cs="Arial" w:ascii="Calibri" w:hAnsi="Calibri"/>
                <w:color w:val="000000"/>
                <w:sz w:val="18"/>
                <w:szCs w:val="18"/>
              </w:rPr>
              <w:t>SENAI OU SENAC</w:t>
            </w:r>
          </w:p>
        </w:tc>
        <w:tc>
          <w:tcPr>
            <w:tcW w:w="8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color w:val="000000"/>
                <w:sz w:val="18"/>
                <w:szCs w:val="18"/>
              </w:rPr>
            </w:pPr>
            <w:r>
              <w:rPr>
                <w:rFonts w:cs="Arial" w:ascii="Calibri" w:hAnsi="Calibri"/>
                <w:color w:val="000000"/>
                <w:sz w:val="18"/>
                <w:szCs w:val="18"/>
              </w:rPr>
              <w:t>1,00</w:t>
            </w:r>
          </w:p>
        </w:tc>
        <w:tc>
          <w:tcPr>
            <w:tcW w:w="184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Fonts w:cs="Arial" w:ascii="Calibri" w:hAnsi="Calibri"/>
                <w:sz w:val="16"/>
                <w:szCs w:val="16"/>
              </w:rPr>
              <w:t xml:space="preserve">Total da remuneração </w:t>
            </w:r>
            <w:r>
              <w:rPr>
                <w:rFonts w:cs="Arial" w:ascii="Calibri" w:hAnsi="Calibri"/>
                <w:sz w:val="18"/>
                <w:szCs w:val="18"/>
              </w:rPr>
              <w:t>x %</w:t>
            </w:r>
          </w:p>
        </w:tc>
        <w:tc>
          <w:tcPr>
            <w:tcW w:w="33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sz w:val="18"/>
                <w:szCs w:val="18"/>
              </w:rPr>
            </w:pPr>
            <w:r>
              <w:rPr>
                <w:rFonts w:cs="Arial" w:ascii="Calibri" w:hAnsi="Calibri"/>
                <w:sz w:val="18"/>
                <w:szCs w:val="18"/>
              </w:rPr>
              <w:t>Decreto 2.318/86</w:t>
            </w:r>
          </w:p>
        </w:tc>
      </w:tr>
      <w:tr>
        <w:trPr>
          <w:trHeight w:val="314" w:hRule="atLeast"/>
        </w:trPr>
        <w:tc>
          <w:tcPr>
            <w:tcW w:w="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color w:val="000000"/>
                <w:sz w:val="18"/>
                <w:szCs w:val="18"/>
              </w:rPr>
            </w:pPr>
            <w:r>
              <w:rPr>
                <w:rFonts w:cs="Arial" w:ascii="Calibri" w:hAnsi="Calibri"/>
                <w:color w:val="000000"/>
                <w:sz w:val="18"/>
                <w:szCs w:val="18"/>
              </w:rPr>
              <w:t>F</w:t>
            </w:r>
          </w:p>
        </w:tc>
        <w:tc>
          <w:tcPr>
            <w:tcW w:w="2126" w:type="dxa"/>
            <w:tcBorders>
              <w:top w:val="single" w:sz="4" w:space="0" w:color="000000"/>
              <w:bottom w:val="single" w:sz="4" w:space="0" w:color="000000"/>
              <w:right w:val="single" w:sz="4" w:space="0" w:color="000000"/>
            </w:tcBorders>
            <w:shd w:color="auto" w:fill="auto" w:val="clear"/>
            <w:vAlign w:val="center"/>
          </w:tcPr>
          <w:p>
            <w:pPr>
              <w:pStyle w:val="Normal"/>
              <w:rPr>
                <w:rFonts w:ascii="Calibri" w:hAnsi="Calibri" w:cs="Arial"/>
                <w:color w:val="000000"/>
                <w:sz w:val="18"/>
                <w:szCs w:val="18"/>
              </w:rPr>
            </w:pPr>
            <w:r>
              <w:rPr>
                <w:rFonts w:cs="Arial" w:ascii="Calibri" w:hAnsi="Calibri"/>
                <w:color w:val="000000"/>
                <w:sz w:val="18"/>
                <w:szCs w:val="18"/>
              </w:rPr>
              <w:t>SEBRAE</w:t>
            </w:r>
          </w:p>
        </w:tc>
        <w:tc>
          <w:tcPr>
            <w:tcW w:w="849"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color w:val="000000"/>
                <w:sz w:val="18"/>
                <w:szCs w:val="18"/>
              </w:rPr>
            </w:pPr>
            <w:r>
              <w:rPr>
                <w:rFonts w:cs="Arial" w:ascii="Calibri" w:hAnsi="Calibri"/>
                <w:color w:val="000000"/>
                <w:sz w:val="18"/>
                <w:szCs w:val="18"/>
              </w:rPr>
              <w:t>0,60</w:t>
            </w:r>
          </w:p>
        </w:tc>
        <w:tc>
          <w:tcPr>
            <w:tcW w:w="1842" w:type="dxa"/>
            <w:tcBorders>
              <w:top w:val="single" w:sz="4" w:space="0" w:color="000000"/>
              <w:bottom w:val="single" w:sz="4" w:space="0" w:color="000000"/>
              <w:right w:val="single" w:sz="4" w:space="0" w:color="000000"/>
            </w:tcBorders>
            <w:shd w:color="auto" w:fill="auto" w:val="clear"/>
          </w:tcPr>
          <w:p>
            <w:pPr>
              <w:pStyle w:val="Normal"/>
              <w:rPr/>
            </w:pPr>
            <w:r>
              <w:rPr>
                <w:rFonts w:cs="Arial" w:ascii="Calibri" w:hAnsi="Calibri"/>
                <w:sz w:val="16"/>
                <w:szCs w:val="16"/>
              </w:rPr>
              <w:t xml:space="preserve">Total da remuneração </w:t>
            </w:r>
            <w:r>
              <w:rPr>
                <w:rFonts w:cs="Arial" w:ascii="Calibri" w:hAnsi="Calibri"/>
                <w:sz w:val="18"/>
                <w:szCs w:val="18"/>
              </w:rPr>
              <w:t>x %</w:t>
            </w:r>
          </w:p>
        </w:tc>
        <w:tc>
          <w:tcPr>
            <w:tcW w:w="3347" w:type="dxa"/>
            <w:tcBorders>
              <w:top w:val="single" w:sz="4" w:space="0" w:color="000000"/>
              <w:bottom w:val="single" w:sz="4" w:space="0" w:color="000000"/>
              <w:right w:val="single" w:sz="4" w:space="0" w:color="000000"/>
            </w:tcBorders>
            <w:shd w:color="auto" w:fill="auto" w:val="clear"/>
            <w:vAlign w:val="center"/>
          </w:tcPr>
          <w:p>
            <w:pPr>
              <w:pStyle w:val="Normal"/>
              <w:rPr>
                <w:rFonts w:ascii="Calibri" w:hAnsi="Calibri" w:cs="Arial"/>
                <w:sz w:val="18"/>
                <w:szCs w:val="18"/>
              </w:rPr>
            </w:pPr>
            <w:r>
              <w:rPr>
                <w:rFonts w:cs="Arial" w:ascii="Calibri" w:hAnsi="Calibri"/>
                <w:sz w:val="18"/>
                <w:szCs w:val="18"/>
              </w:rPr>
              <w:t>Art.8º, Lei 8029/90 e Lei 8154/90</w:t>
            </w:r>
          </w:p>
        </w:tc>
      </w:tr>
      <w:tr>
        <w:trPr>
          <w:trHeight w:val="504" w:hRule="atLeast"/>
        </w:trPr>
        <w:tc>
          <w:tcPr>
            <w:tcW w:w="843"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color w:val="000000"/>
                <w:sz w:val="18"/>
                <w:szCs w:val="18"/>
              </w:rPr>
            </w:pPr>
            <w:r>
              <w:rPr>
                <w:rFonts w:cs="Arial" w:ascii="Calibri" w:hAnsi="Calibri"/>
                <w:color w:val="000000"/>
                <w:sz w:val="18"/>
                <w:szCs w:val="18"/>
              </w:rPr>
              <w:t>G</w:t>
            </w:r>
          </w:p>
        </w:tc>
        <w:tc>
          <w:tcPr>
            <w:tcW w:w="2126" w:type="dxa"/>
            <w:tcBorders>
              <w:bottom w:val="single" w:sz="4" w:space="0" w:color="000000"/>
              <w:right w:val="single" w:sz="4" w:space="0" w:color="000000"/>
            </w:tcBorders>
            <w:shd w:color="auto" w:fill="auto" w:val="clear"/>
            <w:vAlign w:val="center"/>
          </w:tcPr>
          <w:p>
            <w:pPr>
              <w:pStyle w:val="Normal"/>
              <w:rPr>
                <w:rFonts w:ascii="Calibri" w:hAnsi="Calibri" w:cs="Arial"/>
                <w:color w:val="000000"/>
                <w:sz w:val="18"/>
                <w:szCs w:val="18"/>
              </w:rPr>
            </w:pPr>
            <w:r>
              <w:rPr>
                <w:rFonts w:cs="Arial" w:ascii="Calibri" w:hAnsi="Calibri"/>
                <w:color w:val="000000"/>
                <w:sz w:val="18"/>
                <w:szCs w:val="18"/>
              </w:rPr>
              <w:t>INCRA</w:t>
            </w:r>
          </w:p>
        </w:tc>
        <w:tc>
          <w:tcPr>
            <w:tcW w:w="849" w:type="dxa"/>
            <w:tcBorders>
              <w:bottom w:val="single" w:sz="4" w:space="0" w:color="000000"/>
              <w:right w:val="single" w:sz="4" w:space="0" w:color="000000"/>
            </w:tcBorders>
            <w:shd w:color="auto" w:fill="auto" w:val="clear"/>
            <w:vAlign w:val="center"/>
          </w:tcPr>
          <w:p>
            <w:pPr>
              <w:pStyle w:val="Normal"/>
              <w:jc w:val="center"/>
              <w:rPr>
                <w:rFonts w:ascii="Calibri" w:hAnsi="Calibri" w:cs="Arial"/>
                <w:color w:val="000000"/>
                <w:sz w:val="18"/>
                <w:szCs w:val="18"/>
              </w:rPr>
            </w:pPr>
            <w:r>
              <w:rPr>
                <w:rFonts w:cs="Arial" w:ascii="Calibri" w:hAnsi="Calibri"/>
                <w:color w:val="000000"/>
                <w:sz w:val="18"/>
                <w:szCs w:val="18"/>
              </w:rPr>
              <w:t>0,20</w:t>
            </w:r>
          </w:p>
        </w:tc>
        <w:tc>
          <w:tcPr>
            <w:tcW w:w="1842" w:type="dxa"/>
            <w:tcBorders>
              <w:bottom w:val="single" w:sz="4" w:space="0" w:color="000000"/>
              <w:right w:val="single" w:sz="4" w:space="0" w:color="000000"/>
            </w:tcBorders>
            <w:shd w:color="auto" w:fill="auto" w:val="clear"/>
          </w:tcPr>
          <w:p>
            <w:pPr>
              <w:pStyle w:val="Normal"/>
              <w:rPr/>
            </w:pPr>
            <w:r>
              <w:rPr>
                <w:rFonts w:cs="Arial" w:ascii="Calibri" w:hAnsi="Calibri"/>
                <w:sz w:val="16"/>
                <w:szCs w:val="16"/>
              </w:rPr>
              <w:t xml:space="preserve">Total da remuneração </w:t>
            </w:r>
            <w:r>
              <w:rPr>
                <w:rFonts w:cs="Arial" w:ascii="Calibri" w:hAnsi="Calibri"/>
                <w:sz w:val="18"/>
                <w:szCs w:val="18"/>
              </w:rPr>
              <w:t>x %</w:t>
            </w:r>
          </w:p>
        </w:tc>
        <w:tc>
          <w:tcPr>
            <w:tcW w:w="3347" w:type="dxa"/>
            <w:tcBorders>
              <w:bottom w:val="single" w:sz="4" w:space="0" w:color="000000"/>
              <w:right w:val="single" w:sz="4" w:space="0" w:color="000000"/>
            </w:tcBorders>
            <w:shd w:color="auto" w:fill="auto" w:val="clear"/>
            <w:vAlign w:val="center"/>
          </w:tcPr>
          <w:p>
            <w:pPr>
              <w:pStyle w:val="Normal"/>
              <w:rPr>
                <w:rFonts w:ascii="Calibri" w:hAnsi="Calibri" w:cs="Arial"/>
                <w:color w:val="000000"/>
                <w:sz w:val="18"/>
                <w:szCs w:val="18"/>
              </w:rPr>
            </w:pPr>
            <w:r>
              <w:rPr>
                <w:rFonts w:cs="Arial" w:ascii="Calibri" w:hAnsi="Calibri"/>
                <w:color w:val="000000"/>
                <w:sz w:val="18"/>
                <w:szCs w:val="18"/>
              </w:rPr>
              <w:t>Lei 7787/89 e DL 1146/70</w:t>
            </w:r>
          </w:p>
        </w:tc>
      </w:tr>
      <w:tr>
        <w:trPr>
          <w:trHeight w:val="270" w:hRule="atLeast"/>
        </w:trPr>
        <w:tc>
          <w:tcPr>
            <w:tcW w:w="843"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color w:val="000000"/>
                <w:sz w:val="18"/>
                <w:szCs w:val="18"/>
              </w:rPr>
            </w:pPr>
            <w:r>
              <w:rPr>
                <w:rFonts w:cs="Arial" w:ascii="Calibri" w:hAnsi="Calibri"/>
                <w:color w:val="000000"/>
                <w:sz w:val="18"/>
                <w:szCs w:val="18"/>
              </w:rPr>
              <w:t>H</w:t>
            </w:r>
          </w:p>
        </w:tc>
        <w:tc>
          <w:tcPr>
            <w:tcW w:w="2126" w:type="dxa"/>
            <w:tcBorders>
              <w:bottom w:val="single" w:sz="4" w:space="0" w:color="000000"/>
              <w:right w:val="single" w:sz="4" w:space="0" w:color="000000"/>
            </w:tcBorders>
            <w:shd w:color="auto" w:fill="auto" w:val="clear"/>
            <w:vAlign w:val="center"/>
          </w:tcPr>
          <w:p>
            <w:pPr>
              <w:pStyle w:val="Normal"/>
              <w:rPr>
                <w:rFonts w:ascii="Calibri" w:hAnsi="Calibri" w:cs="Arial"/>
                <w:color w:val="000000"/>
                <w:sz w:val="18"/>
                <w:szCs w:val="18"/>
              </w:rPr>
            </w:pPr>
            <w:r>
              <w:rPr>
                <w:rFonts w:cs="Arial" w:ascii="Calibri" w:hAnsi="Calibri"/>
                <w:color w:val="000000"/>
                <w:sz w:val="18"/>
                <w:szCs w:val="18"/>
              </w:rPr>
              <w:t>FGTS</w:t>
            </w:r>
          </w:p>
        </w:tc>
        <w:tc>
          <w:tcPr>
            <w:tcW w:w="849" w:type="dxa"/>
            <w:tcBorders>
              <w:bottom w:val="single" w:sz="4" w:space="0" w:color="000000"/>
              <w:right w:val="single" w:sz="4" w:space="0" w:color="000000"/>
            </w:tcBorders>
            <w:shd w:color="auto" w:fill="auto" w:val="clear"/>
            <w:vAlign w:val="center"/>
          </w:tcPr>
          <w:p>
            <w:pPr>
              <w:pStyle w:val="Normal"/>
              <w:jc w:val="center"/>
              <w:rPr>
                <w:rFonts w:ascii="Calibri" w:hAnsi="Calibri" w:cs="Arial"/>
                <w:color w:val="000000"/>
                <w:sz w:val="18"/>
                <w:szCs w:val="18"/>
              </w:rPr>
            </w:pPr>
            <w:r>
              <w:rPr>
                <w:rFonts w:cs="Arial" w:ascii="Calibri" w:hAnsi="Calibri"/>
                <w:color w:val="000000"/>
                <w:sz w:val="18"/>
                <w:szCs w:val="18"/>
              </w:rPr>
              <w:t>8,00</w:t>
            </w:r>
          </w:p>
        </w:tc>
        <w:tc>
          <w:tcPr>
            <w:tcW w:w="1842" w:type="dxa"/>
            <w:tcBorders>
              <w:bottom w:val="single" w:sz="4" w:space="0" w:color="000000"/>
              <w:right w:val="single" w:sz="4" w:space="0" w:color="000000"/>
            </w:tcBorders>
            <w:shd w:color="auto" w:fill="auto" w:val="clear"/>
          </w:tcPr>
          <w:p>
            <w:pPr>
              <w:pStyle w:val="Normal"/>
              <w:rPr/>
            </w:pPr>
            <w:r>
              <w:rPr>
                <w:rFonts w:cs="Arial" w:ascii="Calibri" w:hAnsi="Calibri"/>
                <w:sz w:val="16"/>
                <w:szCs w:val="16"/>
              </w:rPr>
              <w:t xml:space="preserve">Total da remuneração </w:t>
            </w:r>
            <w:r>
              <w:rPr>
                <w:rFonts w:cs="Arial" w:ascii="Calibri" w:hAnsi="Calibri"/>
                <w:sz w:val="18"/>
                <w:szCs w:val="18"/>
              </w:rPr>
              <w:t>x %</w:t>
            </w:r>
          </w:p>
        </w:tc>
        <w:tc>
          <w:tcPr>
            <w:tcW w:w="3347" w:type="dxa"/>
            <w:tcBorders>
              <w:bottom w:val="single" w:sz="4" w:space="0" w:color="000000"/>
              <w:right w:val="single" w:sz="4" w:space="0" w:color="000000"/>
            </w:tcBorders>
            <w:shd w:color="auto" w:fill="auto" w:val="clear"/>
            <w:vAlign w:val="center"/>
          </w:tcPr>
          <w:p>
            <w:pPr>
              <w:pStyle w:val="Normal"/>
              <w:rPr>
                <w:rFonts w:ascii="Calibri" w:hAnsi="Calibri" w:cs="Arial"/>
                <w:color w:val="000000"/>
                <w:sz w:val="18"/>
                <w:szCs w:val="18"/>
              </w:rPr>
            </w:pPr>
            <w:r>
              <w:rPr>
                <w:rFonts w:cs="Arial" w:ascii="Calibri" w:hAnsi="Calibri"/>
                <w:color w:val="000000"/>
                <w:sz w:val="18"/>
                <w:szCs w:val="18"/>
              </w:rPr>
              <w:t>Art.15, da Lei 8036/90 e Art.7º III, CF</w:t>
            </w:r>
          </w:p>
        </w:tc>
      </w:tr>
      <w:tr>
        <w:trPr>
          <w:trHeight w:val="303" w:hRule="atLeast"/>
        </w:trPr>
        <w:tc>
          <w:tcPr>
            <w:tcW w:w="843" w:type="dxa"/>
            <w:tcBorders>
              <w:top w:val="single" w:sz="4" w:space="0" w:color="000000"/>
              <w:left w:val="single" w:sz="4" w:space="0" w:color="000000"/>
              <w:bottom w:val="single" w:sz="4" w:space="0" w:color="000000"/>
            </w:tcBorders>
            <w:shd w:color="auto" w:fill="EAF1DD" w:themeFill="accent3" w:themeFillTint="33" w:val="clear"/>
            <w:vAlign w:val="center"/>
          </w:tcPr>
          <w:p>
            <w:pPr>
              <w:pStyle w:val="Normal"/>
              <w:jc w:val="center"/>
              <w:rPr>
                <w:rFonts w:ascii="Calibri" w:hAnsi="Calibri" w:cs="Arial"/>
                <w:color w:val="000000"/>
                <w:sz w:val="18"/>
                <w:szCs w:val="18"/>
              </w:rPr>
            </w:pPr>
            <w:r>
              <w:rPr>
                <w:rFonts w:cs="Arial" w:ascii="Calibri" w:hAnsi="Calibri"/>
                <w:color w:val="000000"/>
                <w:sz w:val="18"/>
                <w:szCs w:val="18"/>
              </w:rPr>
            </w:r>
          </w:p>
        </w:tc>
        <w:tc>
          <w:tcPr>
            <w:tcW w:w="2126" w:type="dxa"/>
            <w:tcBorders>
              <w:top w:val="single" w:sz="4" w:space="0" w:color="000000"/>
              <w:bottom w:val="single" w:sz="4" w:space="0" w:color="000000"/>
              <w:right w:val="single" w:sz="4" w:space="0" w:color="000000"/>
            </w:tcBorders>
            <w:shd w:color="auto" w:fill="EAF1DD" w:themeFill="accent3" w:themeFillTint="33" w:val="clear"/>
            <w:vAlign w:val="center"/>
          </w:tcPr>
          <w:p>
            <w:pPr>
              <w:pStyle w:val="Normal"/>
              <w:rPr>
                <w:rFonts w:ascii="Calibri" w:hAnsi="Calibri" w:cs="Arial"/>
                <w:color w:val="000000"/>
                <w:sz w:val="18"/>
                <w:szCs w:val="18"/>
              </w:rPr>
            </w:pPr>
            <w:r>
              <w:rPr>
                <w:rFonts w:cs="Arial" w:ascii="Calibri" w:hAnsi="Calibri"/>
                <w:color w:val="000000"/>
                <w:sz w:val="18"/>
                <w:szCs w:val="18"/>
              </w:rPr>
              <w:t>Total</w:t>
            </w:r>
          </w:p>
        </w:tc>
        <w:tc>
          <w:tcPr>
            <w:tcW w:w="849"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jc w:val="center"/>
              <w:rPr>
                <w:rFonts w:ascii="Calibri" w:hAnsi="Calibri" w:cs="Arial"/>
                <w:color w:val="000000"/>
                <w:sz w:val="18"/>
                <w:szCs w:val="18"/>
              </w:rPr>
            </w:pPr>
            <w:r>
              <w:rPr>
                <w:rFonts w:cs="Arial" w:ascii="Calibri" w:hAnsi="Calibri"/>
                <w:color w:val="000000"/>
                <w:sz w:val="18"/>
                <w:szCs w:val="18"/>
              </w:rPr>
              <w:t>39,80</w:t>
            </w:r>
          </w:p>
        </w:tc>
        <w:tc>
          <w:tcPr>
            <w:tcW w:w="1842" w:type="dxa"/>
            <w:tcBorders>
              <w:top w:val="single" w:sz="4" w:space="0" w:color="000000"/>
              <w:bottom w:val="single" w:sz="4" w:space="0" w:color="000000"/>
              <w:right w:val="single" w:sz="4" w:space="0" w:color="000000"/>
            </w:tcBorders>
            <w:shd w:color="auto" w:fill="EAF1DD" w:themeFill="accent3" w:themeFillTint="33" w:val="clear"/>
            <w:vAlign w:val="center"/>
          </w:tcPr>
          <w:p>
            <w:pPr>
              <w:pStyle w:val="Normal"/>
              <w:jc w:val="center"/>
              <w:rPr>
                <w:rFonts w:ascii="Calibri" w:hAnsi="Calibri" w:cs="Arial"/>
                <w:color w:val="000000"/>
                <w:sz w:val="18"/>
                <w:szCs w:val="18"/>
              </w:rPr>
            </w:pPr>
            <w:r>
              <w:rPr>
                <w:rFonts w:cs="Arial" w:ascii="Calibri" w:hAnsi="Calibri"/>
                <w:color w:val="000000"/>
                <w:sz w:val="18"/>
                <w:szCs w:val="18"/>
              </w:rPr>
            </w:r>
          </w:p>
        </w:tc>
        <w:tc>
          <w:tcPr>
            <w:tcW w:w="3347" w:type="dxa"/>
            <w:tcBorders>
              <w:top w:val="single" w:sz="4" w:space="0" w:color="000000"/>
              <w:bottom w:val="single" w:sz="4" w:space="0" w:color="000000"/>
              <w:right w:val="single" w:sz="4" w:space="0" w:color="000000"/>
            </w:tcBorders>
            <w:shd w:color="auto" w:fill="EAF1DD" w:themeFill="accent3" w:themeFillTint="33" w:val="clear"/>
            <w:vAlign w:val="bottom"/>
          </w:tcPr>
          <w:p>
            <w:pPr>
              <w:pStyle w:val="Normal"/>
              <w:rPr>
                <w:rFonts w:ascii="Calibri" w:hAnsi="Calibri" w:cs="Arial"/>
                <w:sz w:val="18"/>
                <w:szCs w:val="18"/>
              </w:rPr>
            </w:pPr>
            <w:r>
              <w:rPr>
                <w:rFonts w:cs="Arial" w:ascii="Calibri" w:hAnsi="Calibri"/>
                <w:sz w:val="18"/>
                <w:szCs w:val="18"/>
              </w:rPr>
            </w:r>
          </w:p>
        </w:tc>
      </w:tr>
    </w:tbl>
    <w:p>
      <w:pPr>
        <w:pStyle w:val="Textojustificado"/>
        <w:shd w:val="clear" w:color="auto" w:fill="FFFFFF"/>
        <w:textAlignment w:val="baseline"/>
        <w:rPr>
          <w:rFonts w:ascii="Arial" w:hAnsi="Arial" w:cs="Arial"/>
          <w:color w:val="000000"/>
          <w:sz w:val="16"/>
          <w:szCs w:val="16"/>
        </w:rPr>
      </w:pPr>
      <w:r>
        <w:rPr>
          <w:rStyle w:val="Strong"/>
          <w:rFonts w:cs="Arial" w:ascii="Arial" w:hAnsi="Arial"/>
          <w:color w:val="000000"/>
          <w:sz w:val="16"/>
          <w:szCs w:val="16"/>
        </w:rPr>
        <w:t>Nota 1:</w:t>
      </w:r>
      <w:r>
        <w:rPr>
          <w:rFonts w:cs="Arial" w:ascii="Arial" w:hAnsi="Arial"/>
          <w:color w:val="000000"/>
          <w:sz w:val="16"/>
          <w:szCs w:val="16"/>
        </w:rPr>
        <w:t> Os percentuais dos encargos previdenciários, do FGTS e demais contribuições são aqueles estabelecidos pela legislação vigente.</w:t>
      </w:r>
    </w:p>
    <w:p>
      <w:pPr>
        <w:pStyle w:val="Textojustificado"/>
        <w:shd w:val="clear" w:color="auto" w:fill="FFFFFF"/>
        <w:textAlignment w:val="baseline"/>
        <w:rPr>
          <w:rFonts w:ascii="Arial" w:hAnsi="Arial" w:cs="Arial"/>
          <w:color w:val="000000"/>
          <w:sz w:val="16"/>
          <w:szCs w:val="16"/>
        </w:rPr>
      </w:pPr>
      <w:r>
        <w:rPr>
          <w:rFonts w:cs="Arial" w:ascii="Arial" w:hAnsi="Arial"/>
          <w:color w:val="000000"/>
          <w:sz w:val="16"/>
          <w:szCs w:val="16"/>
        </w:rPr>
      </w:r>
    </w:p>
    <w:p>
      <w:pPr>
        <w:pStyle w:val="Textojustificado"/>
        <w:shd w:val="clear" w:color="auto" w:fill="FFFFFF"/>
        <w:textAlignment w:val="baseline"/>
        <w:rPr>
          <w:rFonts w:ascii="Arial" w:hAnsi="Arial" w:cs="Arial"/>
          <w:color w:val="000000"/>
          <w:sz w:val="16"/>
          <w:szCs w:val="16"/>
        </w:rPr>
      </w:pPr>
      <w:r>
        <w:rPr>
          <w:rStyle w:val="Strong"/>
          <w:rFonts w:cs="Arial" w:ascii="Arial" w:hAnsi="Arial"/>
          <w:color w:val="000000"/>
          <w:sz w:val="16"/>
          <w:szCs w:val="16"/>
        </w:rPr>
        <w:t>Nota 2:</w:t>
      </w:r>
      <w:r>
        <w:rPr>
          <w:rFonts w:cs="Arial" w:ascii="Arial" w:hAnsi="Arial"/>
          <w:color w:val="000000"/>
          <w:sz w:val="16"/>
          <w:szCs w:val="16"/>
        </w:rPr>
        <w:t> O SAT a depender do grau de risco do serviço irá variar entre 1%, para risco leve, de 2%, para risco médio, e de 3% de risco grave. No caso, consideraremos as alíquotas de 3%, relativa a Atividades de limpeza não especificadas anteriormente (CNAE 8129-0/00).</w:t>
      </w:r>
    </w:p>
    <w:p>
      <w:pPr>
        <w:pStyle w:val="Normal"/>
        <w:jc w:val="both"/>
        <w:rPr>
          <w:rFonts w:ascii="Arial" w:hAnsi="Arial" w:cs="Arial"/>
          <w:color w:val="000000"/>
          <w:sz w:val="16"/>
          <w:szCs w:val="16"/>
        </w:rPr>
      </w:pPr>
      <w:r>
        <w:rPr>
          <w:rFonts w:cs="Arial" w:ascii="Arial" w:hAnsi="Arial"/>
          <w:color w:val="000000"/>
          <w:sz w:val="16"/>
          <w:szCs w:val="16"/>
        </w:rPr>
      </w:r>
    </w:p>
    <w:p>
      <w:pPr>
        <w:pStyle w:val="Normal"/>
        <w:jc w:val="both"/>
        <w:rPr>
          <w:rFonts w:ascii="Arial" w:hAnsi="Arial" w:cs="Arial"/>
          <w:color w:val="000000"/>
          <w:sz w:val="16"/>
          <w:szCs w:val="16"/>
          <w:highlight w:val="white"/>
        </w:rPr>
      </w:pPr>
      <w:r>
        <mc:AlternateContent>
          <mc:Choice Requires="wps">
            <w:drawing>
              <wp:anchor behindDoc="0" distT="91440" distB="91440" distL="137160" distR="137160" simplePos="0" locked="0" layoutInCell="1" allowOverlap="1" relativeHeight="13" wp14:anchorId="0DE886F3">
                <wp:simplePos x="0" y="0"/>
                <wp:positionH relativeFrom="margin">
                  <wp:posOffset>-1905</wp:posOffset>
                </wp:positionH>
                <wp:positionV relativeFrom="margin">
                  <wp:posOffset>-4182745</wp:posOffset>
                </wp:positionV>
                <wp:extent cx="1803400" cy="2482850"/>
                <wp:effectExtent l="3175" t="0" r="0" b="0"/>
                <wp:wrapSquare wrapText="bothSides"/>
                <wp:docPr id="4" name="AutoForma 2"/>
                <a:graphic xmlns:a="http://schemas.openxmlformats.org/drawingml/2006/main">
                  <a:graphicData uri="http://schemas.microsoft.com/office/word/2010/wordprocessingShape">
                    <wps:wsp>
                      <wps:cNvSpPr/>
                      <wps:spPr>
                        <a:xfrm rot="5400000">
                          <a:off x="0" y="0"/>
                          <a:ext cx="1802880" cy="2482200"/>
                        </a:xfrm>
                        <a:prstGeom prst="roundRect">
                          <a:avLst>
                            <a:gd name="adj" fmla="val 13032"/>
                          </a:avLst>
                        </a:prstGeom>
                        <a:solidFill>
                          <a:schemeClr val="accent3">
                            <a:lumMod val="40000"/>
                            <a:lumOff val="60000"/>
                          </a:schemeClr>
                        </a:solidFill>
                        <a:ln>
                          <a:noFill/>
                        </a:ln>
                      </wps:spPr>
                      <wps:style>
                        <a:lnRef idx="0"/>
                        <a:fillRef idx="0"/>
                        <a:effectRef idx="0"/>
                        <a:fontRef idx="minor"/>
                      </wps:style>
                      <wps:txbx>
                        <w:txbxContent>
                          <w:p>
                            <w:pPr>
                              <w:pStyle w:val="Rtecenter"/>
                              <w:spacing w:beforeAutospacing="0" w:before="280" w:afterAutospacing="0" w:after="280"/>
                              <w:rPr>
                                <w:rFonts w:ascii="Calibri" w:hAnsi="Calibri" w:cs="Arial" w:asciiTheme="minorHAnsi" w:hAnsiTheme="minorHAnsi"/>
                                <w:iCs/>
                                <w:sz w:val="20"/>
                                <w:szCs w:val="20"/>
                              </w:rPr>
                            </w:pPr>
                            <w:r>
                              <w:rPr>
                                <w:rFonts w:ascii="Calibri" w:hAnsi="Calibri" w:asciiTheme="minorHAnsi" w:hAnsiTheme="minorHAnsi"/>
                                <w:iCs/>
                                <w:color w:val="000000"/>
                                <w:sz w:val="20"/>
                                <w:szCs w:val="20"/>
                              </w:rPr>
                              <w:t>Fórmula dias: [(365 / 7) x 5 – 9] /12 = </w:t>
                            </w:r>
                            <w:r>
                              <w:rPr>
                                <w:rStyle w:val="Strong"/>
                                <w:rFonts w:ascii="Calibri" w:hAnsi="Calibri" w:asciiTheme="minorHAnsi" w:hAnsiTheme="minorHAnsi"/>
                                <w:iCs/>
                                <w:color w:val="000000"/>
                                <w:sz w:val="20"/>
                                <w:szCs w:val="20"/>
                              </w:rPr>
                              <w:t>20,98</w:t>
                            </w:r>
                          </w:p>
                          <w:p>
                            <w:pPr>
                              <w:pStyle w:val="NormalWeb"/>
                              <w:rPr>
                                <w:rFonts w:ascii="Calibri" w:hAnsi="Calibri" w:cs="Arial" w:asciiTheme="minorHAnsi" w:hAnsiTheme="minorHAnsi"/>
                                <w:i/>
                                <w:i/>
                                <w:iCs/>
                                <w:sz w:val="20"/>
                                <w:szCs w:val="20"/>
                                <w:u w:val="single"/>
                              </w:rPr>
                            </w:pPr>
                            <w:r>
                              <w:rPr>
                                <w:rStyle w:val="Nfase"/>
                                <w:rFonts w:ascii="Calibri" w:hAnsi="Calibri" w:asciiTheme="minorHAnsi" w:hAnsiTheme="minorHAnsi"/>
                                <w:color w:val="000000"/>
                                <w:sz w:val="20"/>
                                <w:szCs w:val="20"/>
                                <w:u w:val="single"/>
                              </w:rPr>
                              <w:t>Onde:</w:t>
                            </w:r>
                          </w:p>
                          <w:p>
                            <w:pPr>
                              <w:pStyle w:val="Rteindent1"/>
                              <w:spacing w:beforeAutospacing="0" w:before="280" w:afterAutospacing="0" w:after="280"/>
                              <w:ind w:left="600" w:hanging="0"/>
                              <w:rPr>
                                <w:color w:val="000000"/>
                              </w:rPr>
                            </w:pPr>
                            <w:r>
                              <w:rPr>
                                <w:rFonts w:ascii="Calibri" w:hAnsi="Calibri" w:asciiTheme="minorHAnsi" w:hAnsiTheme="minorHAnsi"/>
                                <w:i/>
                                <w:iCs/>
                                <w:color w:val="000000"/>
                                <w:sz w:val="20"/>
                                <w:szCs w:val="20"/>
                              </w:rPr>
                              <w:t>365 = número de dias no ano</w:t>
                              <w:br/>
                              <w:t>7 = número de dias na semana</w:t>
                              <w:br/>
                              <w:t>5 = número de dias úteis (segunda a sexta)</w:t>
                              <w:br/>
                              <w:t>9 = número de feriados nacionais em dias úteis (média)</w:t>
                              <w:br/>
                              <w:t>12 = número de meses no ano</w:t>
                            </w:r>
                          </w:p>
                        </w:txbxContent>
                      </wps:txbx>
                      <wps:bodyPr anchor="ctr">
                        <a:noAutofit/>
                      </wps:bodyPr>
                    </wps:wsp>
                  </a:graphicData>
                </a:graphic>
              </wp:anchor>
            </w:drawing>
          </mc:Choice>
          <mc:Fallback>
            <w:pict/>
          </mc:Fallback>
        </mc:AlternateContent>
      </w:r>
      <w:r>
        <w:rPr>
          <w:rStyle w:val="Strong"/>
          <w:rFonts w:cs="Arial" w:ascii="Arial" w:hAnsi="Arial"/>
          <w:color w:val="000000"/>
          <w:sz w:val="16"/>
          <w:szCs w:val="16"/>
          <w:shd w:fill="FFFFFF" w:val="clear"/>
        </w:rPr>
        <w:t>Nota 3:</w:t>
      </w:r>
      <w:r>
        <w:rPr>
          <w:rFonts w:cs="Arial" w:ascii="Arial" w:hAnsi="Arial"/>
          <w:color w:val="000000"/>
          <w:sz w:val="16"/>
          <w:szCs w:val="16"/>
          <w:shd w:fill="FFFFFF" w:val="clear"/>
        </w:rPr>
        <w:t xml:space="preserve"> Esses percentuais incidem sobre o Módulo 1, o Submódulo 2.1.  </w:t>
      </w:r>
    </w:p>
    <w:p>
      <w:pPr>
        <w:pStyle w:val="Normal"/>
        <w:jc w:val="both"/>
        <w:rPr>
          <w:rFonts w:ascii="Arial" w:hAnsi="Arial" w:cs="Arial"/>
          <w:color w:val="000000"/>
          <w:sz w:val="16"/>
          <w:szCs w:val="16"/>
          <w:highlight w:val="white"/>
        </w:rPr>
      </w:pPr>
      <w:r>
        <w:rPr>
          <w:rFonts w:cs="Arial" w:ascii="Arial" w:hAnsi="Arial"/>
          <w:color w:val="000000"/>
          <w:sz w:val="16"/>
          <w:szCs w:val="16"/>
          <w:shd w:fill="FFFFFF" w:val="clear"/>
        </w:rPr>
        <w:t xml:space="preserve">Obs: Incindirá apenas na linha A do Submódulo 2.1 pois, na base de cálculo no primeiro ano, consideraremos que, inicialmente, não haverá prorrogação do contrato e segundo a tabela de incidência do </w:t>
      </w:r>
      <w:r>
        <w:rPr>
          <w:rFonts w:cs="Arial" w:ascii="Arial" w:hAnsi="Arial"/>
          <w:b/>
          <w:color w:val="000000"/>
          <w:sz w:val="16"/>
          <w:szCs w:val="16"/>
          <w:shd w:fill="FFFFFF" w:val="clear"/>
        </w:rPr>
        <w:t>GPS e FGTS não incide sobre indenizações</w:t>
      </w:r>
      <w:r>
        <w:rPr>
          <w:rFonts w:cs="Arial" w:ascii="Arial" w:hAnsi="Arial"/>
          <w:color w:val="000000"/>
          <w:sz w:val="16"/>
          <w:szCs w:val="16"/>
          <w:shd w:fill="FFFFFF" w:val="clear"/>
        </w:rPr>
        <w:t>.</w:t>
      </w:r>
    </w:p>
    <w:p>
      <w:pPr>
        <w:pStyle w:val="Normal"/>
        <w:jc w:val="both"/>
        <w:rPr>
          <w:rFonts w:ascii="Calibri" w:hAnsi="Calibri"/>
          <w:b/>
          <w:b/>
          <w:sz w:val="16"/>
          <w:szCs w:val="16"/>
        </w:rPr>
      </w:pPr>
      <w:r>
        <w:rPr>
          <w:rFonts w:cs="Arial" w:ascii="Arial" w:hAnsi="Arial"/>
          <w:color w:val="000000"/>
          <w:sz w:val="16"/>
          <w:szCs w:val="16"/>
          <w:shd w:fill="FFFFFF" w:val="clear"/>
        </w:rPr>
        <w:t xml:space="preserve"> </w:t>
      </w:r>
      <w:r>
        <w:rPr>
          <w:rFonts w:cs="Arial" w:ascii="Arial" w:hAnsi="Arial"/>
          <w:color w:val="000000"/>
          <w:sz w:val="16"/>
          <w:szCs w:val="16"/>
          <w:shd w:fill="FFFFFF" w:val="clear"/>
        </w:rPr>
        <w:t>No segundo ano, no caso de prorrogação, utilizar somente o 1/3 constitucional.</w:t>
      </w:r>
    </w:p>
    <w:p>
      <w:pPr>
        <w:pStyle w:val="Normal"/>
        <w:jc w:val="both"/>
        <w:rPr>
          <w:rFonts w:ascii="Calibri" w:hAnsi="Calibri" w:cs="Arial"/>
          <w:u w:val="single"/>
          <w:lang w:val="pt-PT"/>
        </w:rPr>
      </w:pPr>
      <w:r>
        <w:rPr>
          <w:rFonts w:cs="Arial" w:ascii="Calibri" w:hAnsi="Calibri"/>
          <w:u w:val="single"/>
          <w:lang w:val="pt-PT"/>
        </w:rPr>
      </w:r>
    </w:p>
    <w:p>
      <w:pPr>
        <w:pStyle w:val="Normal"/>
        <w:jc w:val="both"/>
        <w:rPr>
          <w:rFonts w:ascii="Calibri" w:hAnsi="Calibri" w:cs="Arial"/>
          <w:lang w:val="pt-PT"/>
        </w:rPr>
      </w:pPr>
      <w:r>
        <w:rPr>
          <w:rFonts w:cs="Arial" w:ascii="Calibri" w:hAnsi="Calibri"/>
          <w:u w:val="single"/>
          <w:lang w:val="pt-PT"/>
        </w:rPr>
        <w:t>OBS</w:t>
      </w:r>
      <w:r>
        <w:rPr>
          <w:rFonts w:cs="Arial" w:ascii="Calibri" w:hAnsi="Calibri"/>
          <w:lang w:val="pt-PT"/>
        </w:rPr>
        <w:t xml:space="preserve">.: Para fins de cálculo do GPS, FGTS e outras contribuições (item 2.2 do quadro resumo do Módulo 2), deverá ser considerado o </w:t>
      </w:r>
      <w:r>
        <w:rPr>
          <w:rFonts w:cs="Arial" w:ascii="Calibri" w:hAnsi="Calibri"/>
          <w:b/>
          <w:lang w:val="pt-PT"/>
        </w:rPr>
        <w:t>total do Submódulo 2.2</w:t>
      </w:r>
      <w:r>
        <w:rPr>
          <w:rFonts w:cs="Arial" w:ascii="Calibri" w:hAnsi="Calibri"/>
          <w:lang w:val="pt-PT"/>
        </w:rPr>
        <w:t xml:space="preserve"> + Incidência do Submódulo 2.2  - Encargos previdenciários (GPS), FGTS e outras contribuições sobre o 13º (décimo terceiro) Salário, Férias e Adicional de Férias (letra C do Submódulo 2.1).</w:t>
      </w:r>
    </w:p>
    <w:p>
      <w:pPr>
        <w:pStyle w:val="Normal"/>
        <w:jc w:val="both"/>
        <w:rPr>
          <w:rFonts w:ascii="Calibri" w:hAnsi="Calibri" w:cs="Arial"/>
          <w:u w:val="single"/>
          <w:lang w:val="pt-PT"/>
        </w:rPr>
      </w:pPr>
      <w:r>
        <w:rPr>
          <w:rFonts w:cs="Arial" w:ascii="Calibri" w:hAnsi="Calibri"/>
          <w:u w:val="single"/>
          <w:lang w:val="pt-PT"/>
        </w:rPr>
      </w:r>
    </w:p>
    <w:p>
      <w:pPr>
        <w:pStyle w:val="Normal"/>
        <w:jc w:val="both"/>
        <w:rPr>
          <w:rFonts w:ascii="Calibri" w:hAnsi="Calibri" w:cs="Arial"/>
          <w:u w:val="single"/>
          <w:lang w:val="pt-PT"/>
        </w:rPr>
      </w:pPr>
      <w:r>
        <w:rPr>
          <w:rFonts w:cs="Arial" w:ascii="Calibri" w:hAnsi="Calibri"/>
          <w:u w:val="single"/>
          <w:lang w:val="pt-PT"/>
        </w:rPr>
        <w:t>Submódulo 2.3 - Benefícios Mensais e Diários</w:t>
      </w:r>
    </w:p>
    <w:p>
      <w:pPr>
        <w:pStyle w:val="Normal"/>
        <w:jc w:val="both"/>
        <w:rPr>
          <w:rFonts w:ascii="Calibri" w:hAnsi="Calibri" w:cs="Arial"/>
          <w:u w:val="single"/>
          <w:lang w:val="pt-PT"/>
        </w:rPr>
      </w:pPr>
      <w:r>
        <w:rPr>
          <w:rFonts w:cs="Arial" w:ascii="Calibri" w:hAnsi="Calibri"/>
          <w:u w:val="single"/>
          <w:lang w:val="pt-PT"/>
        </w:rPr>
      </w:r>
    </w:p>
    <w:p>
      <w:pPr>
        <w:pStyle w:val="Normal"/>
        <w:jc w:val="both"/>
        <w:rPr>
          <w:rFonts w:ascii="Calibri" w:hAnsi="Calibri" w:cs="Arial"/>
          <w:b/>
          <w:b/>
          <w:u w:val="single"/>
          <w:lang w:val="pt-PT"/>
        </w:rPr>
      </w:pPr>
      <w:r>
        <w:rPr>
          <w:rFonts w:cs="Arial" w:ascii="Calibri" w:hAnsi="Calibri"/>
          <w:b/>
          <w:u w:val="single"/>
          <w:lang w:val="pt-PT"/>
        </w:rPr>
        <w:t>Conforme CCT (Asseio):</w:t>
      </w:r>
    </w:p>
    <w:p>
      <w:pPr>
        <w:pStyle w:val="Normal"/>
        <w:jc w:val="both"/>
        <w:rPr>
          <w:rFonts w:ascii="Calibri" w:hAnsi="Calibri" w:cs="Arial"/>
          <w:b/>
          <w:b/>
          <w:u w:val="single"/>
          <w:lang w:val="pt-PT"/>
        </w:rPr>
      </w:pPr>
      <w:r>
        <w:rPr>
          <w:rFonts w:cs="Arial" w:ascii="Calibri" w:hAnsi="Calibri"/>
          <w:b/>
          <w:u w:val="single"/>
          <w:lang w:val="pt-PT"/>
        </w:rPr>
      </w:r>
    </w:p>
    <w:tbl>
      <w:tblPr>
        <w:tblW w:w="7938" w:type="dxa"/>
        <w:jc w:val="center"/>
        <w:tblInd w:w="0" w:type="dxa"/>
        <w:tblCellMar>
          <w:top w:w="0" w:type="dxa"/>
          <w:left w:w="70" w:type="dxa"/>
          <w:bottom w:w="0" w:type="dxa"/>
          <w:right w:w="70" w:type="dxa"/>
        </w:tblCellMar>
        <w:tblLook w:firstRow="1" w:noVBand="1" w:lastRow="0" w:firstColumn="1" w:lastColumn="0" w:noHBand="0" w:val="04a0"/>
      </w:tblPr>
      <w:tblGrid>
        <w:gridCol w:w="561"/>
        <w:gridCol w:w="2410"/>
        <w:gridCol w:w="4967"/>
      </w:tblGrid>
      <w:tr>
        <w:trPr>
          <w:trHeight w:val="510" w:hRule="atLeast"/>
        </w:trPr>
        <w:tc>
          <w:tcPr>
            <w:tcW w:w="561"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jc w:val="center"/>
              <w:rPr>
                <w:rFonts w:ascii="Calibri" w:hAnsi="Calibri" w:cs="Arial"/>
                <w:b/>
                <w:b/>
                <w:bCs/>
                <w:color w:val="000000"/>
                <w:sz w:val="18"/>
                <w:szCs w:val="18"/>
              </w:rPr>
            </w:pPr>
            <w:r>
              <w:rPr>
                <w:rFonts w:cs="Arial" w:ascii="Calibri" w:hAnsi="Calibri"/>
                <w:b/>
                <w:bCs/>
                <w:color w:val="000000"/>
                <w:sz w:val="18"/>
                <w:szCs w:val="18"/>
              </w:rPr>
              <w:t>2.3</w:t>
            </w:r>
          </w:p>
        </w:tc>
        <w:tc>
          <w:tcPr>
            <w:tcW w:w="2410"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jc w:val="center"/>
              <w:rPr>
                <w:rFonts w:ascii="Calibri" w:hAnsi="Calibri" w:cs="Arial"/>
                <w:b/>
                <w:b/>
                <w:bCs/>
                <w:color w:val="000000"/>
                <w:sz w:val="18"/>
                <w:szCs w:val="18"/>
              </w:rPr>
            </w:pPr>
            <w:r>
              <w:rPr>
                <w:rFonts w:cs="Arial" w:ascii="Calibri" w:hAnsi="Calibri"/>
                <w:b/>
                <w:bCs/>
                <w:color w:val="000000"/>
                <w:sz w:val="18"/>
                <w:szCs w:val="18"/>
              </w:rPr>
              <w:t>BENEFÍCIOS MENSAIS E DIÁRIOS</w:t>
            </w:r>
          </w:p>
        </w:tc>
        <w:tc>
          <w:tcPr>
            <w:tcW w:w="4967"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jc w:val="center"/>
              <w:rPr>
                <w:rFonts w:ascii="Calibri" w:hAnsi="Calibri" w:cs="Arial"/>
                <w:b/>
                <w:b/>
                <w:bCs/>
                <w:color w:val="000000"/>
                <w:sz w:val="18"/>
                <w:szCs w:val="18"/>
              </w:rPr>
            </w:pPr>
            <w:r>
              <w:rPr>
                <w:rFonts w:cs="Arial" w:ascii="Calibri" w:hAnsi="Calibri"/>
                <w:b/>
                <w:bCs/>
                <w:color w:val="000000"/>
                <w:sz w:val="18"/>
                <w:szCs w:val="18"/>
              </w:rPr>
              <w:t xml:space="preserve">VALOR (R$) </w:t>
            </w:r>
          </w:p>
        </w:tc>
      </w:tr>
      <w:tr>
        <w:trPr>
          <w:trHeight w:val="631" w:hRule="atLeast"/>
        </w:trPr>
        <w:tc>
          <w:tcPr>
            <w:tcW w:w="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sz w:val="18"/>
                <w:szCs w:val="18"/>
              </w:rPr>
            </w:pPr>
            <w:r>
              <w:rPr>
                <w:rFonts w:cs="Arial" w:ascii="Calibri" w:hAnsi="Calibri"/>
                <w:sz w:val="18"/>
                <w:szCs w:val="18"/>
              </w:rPr>
              <w:t>A</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sz w:val="18"/>
                <w:szCs w:val="18"/>
              </w:rPr>
            </w:pPr>
            <w:r>
              <w:rPr>
                <w:rFonts w:cs="Arial" w:ascii="Calibri" w:hAnsi="Calibri"/>
                <w:sz w:val="18"/>
                <w:szCs w:val="18"/>
              </w:rPr>
              <w:t>Transporte</w:t>
            </w:r>
          </w:p>
        </w:tc>
        <w:tc>
          <w:tcPr>
            <w:tcW w:w="49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both"/>
              <w:rPr>
                <w:rFonts w:ascii="Calibri" w:hAnsi="Calibri" w:cs="Arial"/>
                <w:sz w:val="18"/>
                <w:szCs w:val="18"/>
              </w:rPr>
            </w:pPr>
            <w:r>
              <w:rPr>
                <w:rFonts w:cs="Arial" w:ascii="Calibri" w:hAnsi="Calibri"/>
                <w:sz w:val="18"/>
                <w:szCs w:val="18"/>
              </w:rPr>
              <w:t>valor do transporte x nº de passagens por dia x nº de dias trabalhados – (6% x valor salário base)</w:t>
            </w:r>
          </w:p>
        </w:tc>
      </w:tr>
      <w:tr>
        <w:trPr>
          <w:trHeight w:val="510" w:hRule="atLeast"/>
        </w:trPr>
        <w:tc>
          <w:tcPr>
            <w:tcW w:w="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sz w:val="18"/>
                <w:szCs w:val="18"/>
              </w:rPr>
            </w:pPr>
            <w:r>
              <w:rPr>
                <w:rFonts w:cs="Arial" w:ascii="Calibri" w:hAnsi="Calibri"/>
                <w:sz w:val="18"/>
                <w:szCs w:val="18"/>
              </w:rPr>
              <w:t>B</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sz w:val="18"/>
                <w:szCs w:val="18"/>
              </w:rPr>
            </w:pPr>
            <w:r>
              <w:rPr>
                <w:rFonts w:cs="Arial" w:ascii="Calibri" w:hAnsi="Calibri"/>
                <w:sz w:val="18"/>
                <w:szCs w:val="18"/>
              </w:rPr>
              <w:t>Auxílio Refeição/Alimentação</w:t>
            </w:r>
          </w:p>
        </w:tc>
        <w:tc>
          <w:tcPr>
            <w:tcW w:w="49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both"/>
              <w:rPr>
                <w:rFonts w:ascii="Calibri" w:hAnsi="Calibri" w:cs="Arial"/>
                <w:sz w:val="18"/>
                <w:szCs w:val="18"/>
              </w:rPr>
            </w:pPr>
            <w:r>
              <w:rPr>
                <w:rFonts w:cs="Arial" w:ascii="Calibri" w:hAnsi="Calibri"/>
                <w:sz w:val="18"/>
                <w:szCs w:val="18"/>
              </w:rPr>
              <w:t>valor do vale alimentação mensal (R$ 18,00) x nº de dias de trabalho – 10% (valor do vale alimentação mensal (R$ 18,00) x nº de dias de trabalho) (</w:t>
            </w:r>
            <w:r>
              <w:rPr>
                <w:rFonts w:cs="Arial" w:ascii="Calibri" w:hAnsi="Calibri"/>
                <w:iCs/>
                <w:sz w:val="18"/>
                <w:szCs w:val="18"/>
              </w:rPr>
              <w:t>Clausula 17ª da CCT)</w:t>
            </w:r>
          </w:p>
        </w:tc>
      </w:tr>
      <w:tr>
        <w:trPr>
          <w:trHeight w:val="510" w:hRule="atLeast"/>
        </w:trPr>
        <w:tc>
          <w:tcPr>
            <w:tcW w:w="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sz w:val="18"/>
                <w:szCs w:val="18"/>
              </w:rPr>
            </w:pPr>
            <w:r>
              <w:rPr>
                <w:rFonts w:cs="Arial" w:ascii="Calibri" w:hAnsi="Calibri"/>
                <w:sz w:val="18"/>
                <w:szCs w:val="18"/>
              </w:rPr>
              <w:t>C</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sz w:val="18"/>
                <w:szCs w:val="18"/>
                <w:lang w:eastAsia="en-US"/>
              </w:rPr>
            </w:pPr>
            <w:r>
              <w:rPr>
                <w:rFonts w:cs="Arial" w:ascii="Calibri" w:hAnsi="Calibri"/>
                <w:sz w:val="18"/>
                <w:szCs w:val="18"/>
                <w:lang w:eastAsia="en-US"/>
              </w:rPr>
              <w:t>Assistência médica e familiar (Seguro de Vida com Assist. Funeral e Familiar)</w:t>
            </w:r>
          </w:p>
          <w:p>
            <w:pPr>
              <w:pStyle w:val="Normal"/>
              <w:rPr>
                <w:rFonts w:ascii="Calibri" w:hAnsi="Calibri" w:cs="Arial"/>
                <w:sz w:val="18"/>
                <w:szCs w:val="18"/>
              </w:rPr>
            </w:pPr>
            <w:r>
              <w:rPr>
                <w:rFonts w:cs="Arial" w:ascii="Calibri" w:hAnsi="Calibri"/>
                <w:sz w:val="18"/>
                <w:szCs w:val="18"/>
              </w:rPr>
            </w:r>
          </w:p>
        </w:tc>
        <w:tc>
          <w:tcPr>
            <w:tcW w:w="49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sz w:val="18"/>
                <w:szCs w:val="18"/>
              </w:rPr>
            </w:pPr>
            <w:r>
              <w:rPr>
                <w:rFonts w:cs="Arial" w:ascii="Calibri" w:hAnsi="Calibri"/>
                <w:sz w:val="18"/>
                <w:szCs w:val="18"/>
              </w:rPr>
              <w:t>Cláusula 19ª da CCT = R$ 12,00, descontado o valor R$ 6,00 paga pelo empregado</w:t>
            </w:r>
          </w:p>
        </w:tc>
      </w:tr>
      <w:tr>
        <w:trPr>
          <w:trHeight w:val="510" w:hRule="atLeast"/>
        </w:trPr>
        <w:tc>
          <w:tcPr>
            <w:tcW w:w="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sz w:val="18"/>
                <w:szCs w:val="18"/>
              </w:rPr>
            </w:pPr>
            <w:r>
              <w:rPr>
                <w:rFonts w:cs="Arial" w:ascii="Calibri" w:hAnsi="Calibri"/>
                <w:sz w:val="18"/>
                <w:szCs w:val="18"/>
              </w:rPr>
              <w:t>D1</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sz w:val="18"/>
                <w:szCs w:val="18"/>
              </w:rPr>
            </w:pPr>
            <w:r>
              <w:rPr>
                <w:rFonts w:cs="Arial" w:ascii="Calibri" w:hAnsi="Calibri"/>
                <w:sz w:val="18"/>
                <w:szCs w:val="18"/>
              </w:rPr>
              <w:t>Outros (Benefício Natalidade) 16,77%</w:t>
            </w:r>
          </w:p>
        </w:tc>
        <w:tc>
          <w:tcPr>
            <w:tcW w:w="49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rFonts w:cs="Arial" w:ascii="Calibri" w:hAnsi="Calibri"/>
                <w:sz w:val="18"/>
                <w:szCs w:val="18"/>
              </w:rPr>
              <w:t xml:space="preserve">Taxa de natalidade bruta no estado do Pará 2020 - 16,77% - </w:t>
            </w:r>
            <w:hyperlink r:id="rId3">
              <w:r>
                <w:rPr>
                  <w:rStyle w:val="ListLabel1"/>
                  <w:rFonts w:cs="Arial" w:ascii="Calibri" w:hAnsi="Calibri"/>
                  <w:sz w:val="18"/>
                  <w:szCs w:val="18"/>
                </w:rPr>
                <w:t>https://www.ibge.gov.br/apps/populacao/projecao/</w:t>
              </w:r>
            </w:hyperlink>
            <w:r>
              <w:rPr>
                <w:rFonts w:cs="Arial" w:ascii="Calibri" w:hAnsi="Calibri"/>
                <w:sz w:val="18"/>
                <w:szCs w:val="18"/>
              </w:rPr>
              <w:t xml:space="preserve"> Acesso em 22/02/2020. §5º, Cláusula 19ª</w:t>
            </w:r>
          </w:p>
          <w:p>
            <w:pPr>
              <w:pStyle w:val="Normal"/>
              <w:rPr>
                <w:rFonts w:ascii="Calibri" w:hAnsi="Calibri" w:cs="Arial"/>
                <w:sz w:val="18"/>
                <w:szCs w:val="18"/>
              </w:rPr>
            </w:pPr>
            <w:r>
              <w:rPr>
                <w:rFonts w:cs="Arial" w:ascii="Calibri" w:hAnsi="Calibri"/>
                <w:sz w:val="18"/>
                <w:szCs w:val="18"/>
              </w:rPr>
              <w:t>=(R$500,00 reais x16,77%)/12 meses</w:t>
            </w:r>
          </w:p>
          <w:p>
            <w:pPr>
              <w:pStyle w:val="Normal"/>
              <w:rPr>
                <w:rFonts w:ascii="Calibri" w:hAnsi="Calibri" w:cs="Arial"/>
                <w:sz w:val="18"/>
                <w:szCs w:val="18"/>
              </w:rPr>
            </w:pPr>
            <w:r>
              <w:rPr>
                <w:rFonts w:cs="Arial" w:ascii="Calibri" w:hAnsi="Calibri"/>
                <w:sz w:val="18"/>
                <w:szCs w:val="18"/>
              </w:rPr>
            </w:r>
          </w:p>
        </w:tc>
      </w:tr>
      <w:tr>
        <w:trPr>
          <w:trHeight w:val="510" w:hRule="atLeast"/>
        </w:trPr>
        <w:tc>
          <w:tcPr>
            <w:tcW w:w="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sz w:val="18"/>
                <w:szCs w:val="18"/>
              </w:rPr>
            </w:pPr>
            <w:r>
              <w:rPr>
                <w:rFonts w:cs="Arial" w:ascii="Calibri" w:hAnsi="Calibri"/>
                <w:sz w:val="18"/>
                <w:szCs w:val="18"/>
              </w:rPr>
              <w:t>D2</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sz w:val="18"/>
                <w:szCs w:val="18"/>
              </w:rPr>
            </w:pPr>
            <w:r>
              <w:rPr>
                <w:rFonts w:cs="Arial" w:ascii="Calibri" w:hAnsi="Calibri"/>
                <w:sz w:val="18"/>
                <w:szCs w:val="18"/>
              </w:rPr>
              <w:t>Outros (Qualificação/formação profissional)</w:t>
            </w:r>
          </w:p>
        </w:tc>
        <w:tc>
          <w:tcPr>
            <w:tcW w:w="49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sz w:val="18"/>
                <w:szCs w:val="18"/>
              </w:rPr>
            </w:pPr>
            <w:r>
              <w:rPr>
                <w:rFonts w:cs="Arial" w:ascii="Calibri" w:hAnsi="Calibri"/>
                <w:sz w:val="18"/>
                <w:szCs w:val="18"/>
              </w:rPr>
              <w:t>Cláusula 28ª da CCT = R$6,00</w:t>
            </w:r>
          </w:p>
        </w:tc>
      </w:tr>
      <w:tr>
        <w:trPr>
          <w:trHeight w:val="283" w:hRule="atLeast"/>
        </w:trPr>
        <w:tc>
          <w:tcPr>
            <w:tcW w:w="2971" w:type="dxa"/>
            <w:gridSpan w:val="2"/>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jc w:val="center"/>
              <w:rPr>
                <w:rFonts w:ascii="Calibri" w:hAnsi="Calibri" w:cs="Arial"/>
                <w:sz w:val="18"/>
                <w:szCs w:val="18"/>
              </w:rPr>
            </w:pPr>
            <w:r>
              <w:rPr>
                <w:rFonts w:cs="Arial" w:ascii="Calibri" w:hAnsi="Calibri"/>
                <w:sz w:val="18"/>
                <w:szCs w:val="18"/>
              </w:rPr>
              <w:t>Total</w:t>
            </w:r>
          </w:p>
        </w:tc>
        <w:tc>
          <w:tcPr>
            <w:tcW w:w="4967"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rPr>
                <w:rFonts w:ascii="Calibri" w:hAnsi="Calibri" w:cs="Arial"/>
                <w:sz w:val="18"/>
                <w:szCs w:val="18"/>
              </w:rPr>
            </w:pPr>
            <w:r>
              <w:rPr>
                <w:rFonts w:cs="Arial" w:ascii="Calibri" w:hAnsi="Calibri"/>
                <w:sz w:val="18"/>
                <w:szCs w:val="18"/>
              </w:rPr>
            </w:r>
          </w:p>
        </w:tc>
      </w:tr>
    </w:tbl>
    <w:p>
      <w:pPr>
        <w:pStyle w:val="Normal"/>
        <w:jc w:val="both"/>
        <w:rPr>
          <w:rFonts w:ascii="Calibri" w:hAnsi="Calibri" w:cs="Arial"/>
          <w:b/>
          <w:b/>
          <w:u w:val="single"/>
          <w:lang w:val="pt-PT"/>
        </w:rPr>
      </w:pPr>
      <w:r>
        <w:rPr>
          <w:rFonts w:cs="Arial" w:ascii="Calibri" w:hAnsi="Calibri"/>
          <w:b/>
          <w:u w:val="single"/>
          <w:lang w:val="pt-PT"/>
        </w:rPr>
      </w:r>
    </w:p>
    <w:p>
      <w:pPr>
        <w:pStyle w:val="Normal"/>
        <w:jc w:val="both"/>
        <w:rPr>
          <w:rFonts w:ascii="Calibri" w:hAnsi="Calibri" w:cs="Arial"/>
          <w:b/>
          <w:b/>
          <w:u w:val="single"/>
          <w:lang w:val="pt-PT"/>
        </w:rPr>
      </w:pPr>
      <w:r>
        <w:rPr>
          <w:rFonts w:cs="Arial" w:ascii="Calibri" w:hAnsi="Calibri"/>
          <w:b/>
          <w:u w:val="single"/>
          <w:lang w:val="pt-PT"/>
        </w:rPr>
      </w:r>
    </w:p>
    <w:p>
      <w:pPr>
        <w:pStyle w:val="Normal"/>
        <w:shd w:val="clear" w:color="auto" w:fill="FFFFFF"/>
        <w:textAlignment w:val="baseline"/>
        <w:rPr>
          <w:rFonts w:ascii="Arial" w:hAnsi="Arial" w:cs="Arial"/>
          <w:color w:val="000000"/>
          <w:sz w:val="16"/>
          <w:szCs w:val="16"/>
          <w:lang w:eastAsia="en-US"/>
        </w:rPr>
      </w:pPr>
      <w:r>
        <w:rPr>
          <w:rFonts w:cs="Arial" w:ascii="Arial" w:hAnsi="Arial"/>
          <w:b/>
          <w:bCs/>
          <w:color w:val="000000"/>
          <w:sz w:val="16"/>
          <w:szCs w:val="16"/>
          <w:lang w:eastAsia="en-US"/>
        </w:rPr>
        <w:t>Nota 1:</w:t>
      </w:r>
      <w:r>
        <w:rPr>
          <w:rFonts w:cs="Arial" w:ascii="Arial" w:hAnsi="Arial"/>
          <w:color w:val="000000"/>
          <w:sz w:val="16"/>
          <w:szCs w:val="16"/>
          <w:lang w:eastAsia="en-US"/>
        </w:rPr>
        <w:t> O valor informado deverá ser o custo real do benefício (descontado o valor eventualmente pago pelo empregado).</w:t>
      </w:r>
    </w:p>
    <w:p>
      <w:pPr>
        <w:pStyle w:val="Normal"/>
        <w:shd w:val="clear" w:color="auto" w:fill="FFFFFF"/>
        <w:textAlignment w:val="baseline"/>
        <w:rPr>
          <w:rFonts w:ascii="Arial" w:hAnsi="Arial" w:cs="Arial"/>
          <w:color w:val="000000"/>
          <w:sz w:val="16"/>
          <w:szCs w:val="16"/>
          <w:lang w:eastAsia="en-US"/>
        </w:rPr>
      </w:pPr>
      <w:r>
        <w:rPr>
          <w:rFonts w:cs="Arial" w:ascii="Arial" w:hAnsi="Arial"/>
          <w:color w:val="000000"/>
          <w:sz w:val="16"/>
          <w:szCs w:val="16"/>
          <w:lang w:eastAsia="en-US"/>
        </w:rPr>
      </w:r>
    </w:p>
    <w:p>
      <w:pPr>
        <w:pStyle w:val="Normal"/>
        <w:shd w:val="clear" w:color="auto" w:fill="FFFFFF"/>
        <w:textAlignment w:val="baseline"/>
        <w:rPr>
          <w:rFonts w:ascii="Arial" w:hAnsi="Arial" w:cs="Arial"/>
          <w:color w:val="000000"/>
          <w:sz w:val="16"/>
          <w:szCs w:val="16"/>
          <w:lang w:eastAsia="en-US"/>
        </w:rPr>
      </w:pPr>
      <w:r>
        <w:rPr>
          <w:rFonts w:cs="Arial" w:ascii="Arial" w:hAnsi="Arial"/>
          <w:b/>
          <w:bCs/>
          <w:color w:val="000000"/>
          <w:sz w:val="16"/>
          <w:szCs w:val="16"/>
          <w:lang w:eastAsia="en-US"/>
        </w:rPr>
        <w:t>Nota 2: </w:t>
      </w:r>
      <w:r>
        <w:rPr>
          <w:rFonts w:cs="Arial" w:ascii="Arial" w:hAnsi="Arial"/>
          <w:color w:val="000000"/>
          <w:sz w:val="16"/>
          <w:szCs w:val="16"/>
          <w:lang w:eastAsia="en-US"/>
        </w:rPr>
        <w:t>Observar a previsão dos benefícios contidos em Acordos, Convenções e Dissídios Coletivos de Trabalho e atentar-se ao disposto no art. 6º da IN 5/2017.</w:t>
      </w:r>
    </w:p>
    <w:p>
      <w:pPr>
        <w:pStyle w:val="Normal"/>
        <w:jc w:val="both"/>
        <w:rPr>
          <w:rFonts w:ascii="Calibri" w:hAnsi="Calibri" w:cs="Arial"/>
          <w:u w:val="single"/>
        </w:rPr>
      </w:pPr>
      <w:r>
        <w:rPr>
          <w:rFonts w:cs="Arial" w:ascii="Calibri" w:hAnsi="Calibri"/>
          <w:u w:val="single"/>
        </w:rPr>
      </w:r>
    </w:p>
    <w:p>
      <w:pPr>
        <w:pStyle w:val="Normal"/>
        <w:spacing w:lineRule="auto" w:line="276"/>
        <w:jc w:val="both"/>
        <w:rPr>
          <w:rFonts w:ascii="Calibri" w:hAnsi="Calibri" w:cs="Arial"/>
          <w:b/>
          <w:b/>
        </w:rPr>
      </w:pPr>
      <w:r>
        <w:rPr>
          <w:rFonts w:cs="Arial" w:ascii="Calibri" w:hAnsi="Calibri"/>
          <w:b/>
        </w:rPr>
        <w:t>A) Transporte</w:t>
      </w:r>
    </w:p>
    <w:p>
      <w:pPr>
        <w:pStyle w:val="Normal"/>
        <w:spacing w:lineRule="auto" w:line="276"/>
        <w:rPr>
          <w:rFonts w:ascii="Calibri" w:hAnsi="Calibri" w:asciiTheme="minorHAnsi" w:hAnsiTheme="minorHAnsi"/>
          <w:iCs/>
        </w:rPr>
      </w:pPr>
      <w:r>
        <w:rPr>
          <w:rFonts w:cs="Arial" w:ascii="Calibri" w:hAnsi="Calibri"/>
        </w:rPr>
        <w:t>a.1. Para fins de estimativa, foi considerado o valor referente ao preço da passagem de ônibus intermunicipal em Oriximiná, considerando uma passagem de ida e uma passagem de volta, com o desconto de 6% do empregado com base em 25,11 dias úteis, como demonstrado</w:t>
      </w:r>
      <w:r>
        <w:rPr>
          <w:rFonts w:ascii="Calibri" w:hAnsi="Calibri" w:asciiTheme="minorHAnsi" w:hAnsiTheme="minorHAnsi"/>
          <w:iCs/>
        </w:rPr>
        <w:t xml:space="preserve">, para </w:t>
      </w:r>
      <w:r>
        <w:rPr>
          <w:rFonts w:ascii="Calibri" w:hAnsi="Calibri" w:asciiTheme="minorHAnsi" w:hAnsiTheme="minorHAnsi"/>
          <w:b/>
          <w:iCs/>
        </w:rPr>
        <w:t>jornada de 44 horas</w:t>
      </w:r>
      <w:r>
        <w:rPr>
          <w:rFonts w:ascii="Calibri" w:hAnsi="Calibri" w:asciiTheme="minorHAnsi" w:hAnsiTheme="minorHAnsi"/>
          <w:iCs/>
        </w:rPr>
        <w:t>:</w:t>
      </w:r>
    </w:p>
    <w:p>
      <w:pPr>
        <w:pStyle w:val="Normal"/>
        <w:spacing w:lineRule="auto" w:line="276"/>
        <w:jc w:val="both"/>
        <w:rPr>
          <w:rFonts w:ascii="Calibri" w:hAnsi="Calibri" w:cs="Arial"/>
        </w:rPr>
      </w:pPr>
      <w:r>
        <w:rPr>
          <w:rFonts w:cs="Arial" w:ascii="Calibri" w:hAnsi="Calibri"/>
        </w:rPr>
      </w:r>
    </w:p>
    <w:p>
      <w:pPr>
        <w:pStyle w:val="Normal"/>
        <w:spacing w:lineRule="auto" w:line="276"/>
        <w:jc w:val="both"/>
        <w:rPr>
          <w:rFonts w:ascii="Calibri" w:hAnsi="Calibri" w:cs="Arial"/>
          <w:b/>
          <w:b/>
        </w:rPr>
      </w:pPr>
      <w:r>
        <w:rPr>
          <w:rFonts w:cs="Arial" w:ascii="Calibri" w:hAnsi="Calibri"/>
        </w:rPr>
        <w:t xml:space="preserve">Fórmula = </w:t>
      </w:r>
      <w:r>
        <w:rPr>
          <w:rFonts w:cs="Arial" w:ascii="Calibri" w:hAnsi="Calibri"/>
          <w:b/>
        </w:rPr>
        <w:t>valor do transporte x nº de passagens por dia x nº de dias trabalhados – (6% x valor salário base)</w:t>
      </w:r>
    </w:p>
    <w:p>
      <w:pPr>
        <w:pStyle w:val="Normal"/>
        <w:spacing w:lineRule="auto" w:line="276"/>
        <w:jc w:val="both"/>
        <w:rPr>
          <w:rFonts w:ascii="Calibri" w:hAnsi="Calibri" w:cs="Arial"/>
        </w:rPr>
      </w:pPr>
      <w:r>
        <w:rPr>
          <w:rFonts w:cs="Arial" w:ascii="Calibri" w:hAnsi="Calibri"/>
        </w:rPr>
        <w:t xml:space="preserve">                                              </w:t>
      </w:r>
      <w:r>
        <w:rPr>
          <w:rFonts w:cs="Arial" w:ascii="Calibri" w:hAnsi="Calibri"/>
        </w:rPr>
        <w:t>R$ 5,80 x 2 x 25,11 – (6% x valor salário base)</w:t>
      </w:r>
    </w:p>
    <w:p>
      <w:pPr>
        <w:pStyle w:val="Normal"/>
        <w:spacing w:lineRule="auto" w:line="276"/>
        <w:jc w:val="both"/>
        <w:rPr>
          <w:rFonts w:ascii="Calibri" w:hAnsi="Calibri" w:cs="Arial"/>
        </w:rPr>
      </w:pPr>
      <w:r>
        <w:rPr>
          <w:rFonts w:cs="Arial" w:ascii="Calibri" w:hAnsi="Calibri"/>
        </w:rPr>
      </w:r>
    </w:p>
    <w:p>
      <w:pPr>
        <w:pStyle w:val="Normal"/>
        <w:spacing w:lineRule="auto" w:line="276"/>
        <w:jc w:val="both"/>
        <w:rPr>
          <w:rFonts w:ascii="Calibri" w:hAnsi="Calibri" w:cs="Arial"/>
          <w:color w:val="FF0000"/>
        </w:rPr>
      </w:pPr>
      <w:r>
        <w:rPr>
          <w:rFonts w:cs="Arial" w:ascii="Calibri" w:hAnsi="Calibri"/>
          <w:color w:val="FF0000"/>
        </w:rPr>
        <w:t xml:space="preserve">                                       </w:t>
      </w:r>
    </w:p>
    <w:p>
      <w:pPr>
        <w:pStyle w:val="Normal"/>
        <w:spacing w:lineRule="auto" w:line="276"/>
        <w:rPr>
          <w:rFonts w:ascii="Calibri" w:hAnsi="Calibri" w:cs="Arial"/>
        </w:rPr>
      </w:pPr>
      <w:r>
        <w:rPr>
          <w:rFonts w:cs="Arial" w:ascii="Calibri" w:hAnsi="Calibri"/>
        </w:rPr>
      </w:r>
    </w:p>
    <w:p>
      <w:pPr>
        <w:pStyle w:val="Normal"/>
        <w:spacing w:lineRule="auto" w:line="276"/>
        <w:jc w:val="both"/>
        <w:rPr>
          <w:rFonts w:ascii="Calibri" w:hAnsi="Calibri" w:cs="Arial"/>
          <w:b/>
          <w:b/>
        </w:rPr>
      </w:pPr>
      <w:r>
        <w:rPr>
          <w:rFonts w:cs="Arial" w:ascii="Calibri" w:hAnsi="Calibri"/>
          <w:b/>
        </w:rPr>
        <w:t xml:space="preserve">B) Auxílio-alimentação </w:t>
      </w:r>
    </w:p>
    <w:p>
      <w:pPr>
        <w:pStyle w:val="Normal"/>
        <w:spacing w:lineRule="auto" w:line="276"/>
        <w:jc w:val="both"/>
        <w:rPr>
          <w:rFonts w:ascii="Calibri" w:hAnsi="Calibri" w:cs="Arial"/>
          <w:b/>
          <w:b/>
        </w:rPr>
      </w:pPr>
      <w:r>
        <w:rPr>
          <w:rFonts w:cs="Arial" w:ascii="Calibri" w:hAnsi="Calibri"/>
          <w:b/>
        </w:rPr>
      </w:r>
    </w:p>
    <w:p>
      <w:pPr>
        <w:pStyle w:val="Normal"/>
        <w:spacing w:lineRule="auto" w:line="276"/>
        <w:jc w:val="both"/>
        <w:rPr>
          <w:rFonts w:ascii="Calibri" w:hAnsi="Calibri" w:cs="Arial"/>
          <w:b/>
          <w:b/>
          <w:u w:val="single"/>
          <w:lang w:val="pt-PT"/>
        </w:rPr>
      </w:pPr>
      <w:r>
        <w:rPr>
          <w:rFonts w:cs="Arial" w:ascii="Calibri" w:hAnsi="Calibri"/>
          <w:b/>
          <w:u w:val="single"/>
          <w:lang w:val="pt-PT"/>
        </w:rPr>
        <w:t>Asseio</w:t>
      </w:r>
    </w:p>
    <w:p>
      <w:pPr>
        <w:pStyle w:val="Normal"/>
        <w:spacing w:lineRule="auto" w:line="276"/>
        <w:jc w:val="both"/>
        <w:rPr>
          <w:rFonts w:ascii="Calibri" w:hAnsi="Calibri" w:cs="Arial"/>
        </w:rPr>
      </w:pPr>
      <w:r>
        <w:rPr>
          <w:rFonts w:cs="Arial" w:ascii="Calibri" w:hAnsi="Calibri"/>
        </w:rPr>
        <w:t>Valor referente ao determinado em CCT, cláusula 17ª, R$18,00 (dezoito reais) x nº de dias trabalhados (MMDT), descontado 10% do valor do total do benefício.</w:t>
      </w:r>
    </w:p>
    <w:p>
      <w:pPr>
        <w:pStyle w:val="Normal"/>
        <w:spacing w:lineRule="auto" w:line="276"/>
        <w:jc w:val="both"/>
        <w:rPr>
          <w:rFonts w:ascii="Calibri" w:hAnsi="Calibri" w:cs="Arial"/>
        </w:rPr>
      </w:pPr>
      <w:r>
        <w:rPr>
          <w:rFonts w:cs="Arial" w:ascii="Calibri" w:hAnsi="Calibri"/>
        </w:rPr>
        <w:t>=((R$18*25,11)-(18*25,11*10%))</w:t>
      </w:r>
    </w:p>
    <w:p>
      <w:pPr>
        <w:pStyle w:val="Normal"/>
        <w:spacing w:lineRule="auto" w:line="276"/>
        <w:jc w:val="both"/>
        <w:rPr>
          <w:rFonts w:ascii="Calibri" w:hAnsi="Calibri" w:cs="Arial"/>
          <w:b/>
          <w:b/>
        </w:rPr>
      </w:pPr>
      <w:r>
        <w:rPr>
          <w:rFonts w:cs="Arial" w:ascii="Calibri" w:hAnsi="Calibri"/>
          <w:b/>
        </w:rPr>
      </w:r>
    </w:p>
    <w:p>
      <w:pPr>
        <w:pStyle w:val="Normal"/>
        <w:spacing w:lineRule="auto" w:line="276"/>
        <w:jc w:val="both"/>
        <w:rPr>
          <w:rFonts w:ascii="Calibri" w:hAnsi="Calibri" w:cs="Arial"/>
          <w:b/>
          <w:b/>
        </w:rPr>
      </w:pPr>
      <w:r>
        <w:rPr>
          <w:rFonts w:cs="Arial" w:ascii="Calibri" w:hAnsi="Calibri"/>
          <w:b/>
        </w:rPr>
        <w:t>C) Assistência médica familiar</w:t>
      </w:r>
    </w:p>
    <w:p>
      <w:pPr>
        <w:pStyle w:val="Normal"/>
        <w:jc w:val="both"/>
        <w:rPr>
          <w:rFonts w:ascii="Calibri" w:hAnsi="Calibri" w:cs="Arial"/>
          <w:sz w:val="18"/>
          <w:szCs w:val="18"/>
        </w:rPr>
      </w:pPr>
      <w:r>
        <w:rPr>
          <w:rFonts w:cs="Arial" w:ascii="Calibri" w:hAnsi="Calibri"/>
          <w:sz w:val="18"/>
          <w:szCs w:val="18"/>
        </w:rPr>
        <w:t>Seguro de Vida com Assist. Funeral e Familiar</w:t>
      </w:r>
    </w:p>
    <w:p>
      <w:pPr>
        <w:pStyle w:val="Normal"/>
        <w:jc w:val="both"/>
        <w:rPr>
          <w:rFonts w:ascii="Calibri" w:hAnsi="Calibri" w:cs="Arial"/>
          <w:sz w:val="18"/>
          <w:szCs w:val="18"/>
        </w:rPr>
      </w:pPr>
      <w:r>
        <w:rPr>
          <w:rFonts w:cs="Arial" w:ascii="Calibri" w:hAnsi="Calibri"/>
          <w:sz w:val="18"/>
          <w:szCs w:val="18"/>
        </w:rPr>
        <w:t>Cláusula 19ª da CCT = R$ 12,00, descontado o valor R$ 6,00 paga pelo empregado</w:t>
      </w:r>
    </w:p>
    <w:p>
      <w:pPr>
        <w:pStyle w:val="Normal"/>
        <w:spacing w:lineRule="auto" w:line="276"/>
        <w:jc w:val="both"/>
        <w:rPr>
          <w:rFonts w:ascii="Calibri" w:hAnsi="Calibri" w:cs="Arial"/>
          <w:b/>
          <w:b/>
        </w:rPr>
      </w:pPr>
      <w:r>
        <w:rPr>
          <w:rFonts w:cs="Arial" w:ascii="Calibri" w:hAnsi="Calibri"/>
          <w:b/>
        </w:rPr>
      </w:r>
    </w:p>
    <w:p>
      <w:pPr>
        <w:pStyle w:val="Normal"/>
        <w:spacing w:lineRule="auto" w:line="276"/>
        <w:jc w:val="both"/>
        <w:rPr>
          <w:rFonts w:ascii="Calibri" w:hAnsi="Calibri" w:cs="Arial"/>
          <w:b/>
          <w:b/>
        </w:rPr>
      </w:pPr>
      <w:r>
        <w:rPr>
          <w:rFonts w:cs="Arial" w:ascii="Calibri" w:hAnsi="Calibri"/>
          <w:b/>
          <w:bCs/>
        </w:rPr>
        <w:t xml:space="preserve">D.1) </w:t>
      </w:r>
      <w:r>
        <w:rPr>
          <w:rFonts w:cs="Arial" w:ascii="Calibri" w:hAnsi="Calibri"/>
          <w:b/>
        </w:rPr>
        <w:t>Benefício Natalidade</w:t>
      </w:r>
    </w:p>
    <w:p>
      <w:pPr>
        <w:pStyle w:val="Normal"/>
        <w:spacing w:lineRule="auto" w:line="276"/>
        <w:jc w:val="both"/>
        <w:rPr/>
      </w:pPr>
      <w:r>
        <w:rPr/>
        <w:t>§5º, Cláusula 18ª da CCT</w:t>
      </w:r>
    </w:p>
    <w:p>
      <w:pPr>
        <w:pStyle w:val="Normal"/>
        <w:spacing w:lineRule="auto" w:line="276"/>
        <w:jc w:val="both"/>
        <w:rPr/>
      </w:pPr>
      <w:r>
        <w:rPr/>
        <w:t xml:space="preserve">Taxa de natalidade bruta no estado do Pará 2020: 16,77%- Fonte: </w:t>
      </w:r>
      <w:hyperlink r:id="rId4">
        <w:r>
          <w:rPr>
            <w:rStyle w:val="LinkdaInternet"/>
          </w:rPr>
          <w:t>https://www.ibge.gov.br/apps/populacao/projecao/</w:t>
        </w:r>
      </w:hyperlink>
      <w:r>
        <w:rPr/>
        <w:t xml:space="preserve"> Acesso em 22/02/2020. </w:t>
      </w:r>
    </w:p>
    <w:p>
      <w:pPr>
        <w:pStyle w:val="Normal"/>
        <w:spacing w:lineRule="auto" w:line="276"/>
        <w:jc w:val="both"/>
        <w:rPr/>
      </w:pPr>
      <w:r>
        <w:rPr/>
        <w:t>=(R$500,00 reais x16,77%)/12 meses</w:t>
      </w:r>
    </w:p>
    <w:p>
      <w:pPr>
        <w:pStyle w:val="Normal"/>
        <w:spacing w:lineRule="auto" w:line="276"/>
        <w:jc w:val="both"/>
        <w:rPr>
          <w:rFonts w:ascii="Calibri" w:hAnsi="Calibri" w:cs="Arial"/>
        </w:rPr>
      </w:pPr>
      <w:r>
        <w:rPr>
          <w:rFonts w:cs="Arial" w:ascii="Calibri" w:hAnsi="Calibri"/>
        </w:rPr>
      </w:r>
    </w:p>
    <w:p>
      <w:pPr>
        <w:pStyle w:val="Normal"/>
        <w:spacing w:lineRule="auto" w:line="276"/>
        <w:jc w:val="both"/>
        <w:rPr>
          <w:rFonts w:ascii="Calibri" w:hAnsi="Calibri" w:cs="Arial"/>
          <w:b/>
          <w:b/>
          <w:bCs/>
        </w:rPr>
      </w:pPr>
      <w:r>
        <w:rPr>
          <w:rFonts w:cs="Arial" w:ascii="Calibri" w:hAnsi="Calibri"/>
          <w:b/>
          <w:bCs/>
        </w:rPr>
        <w:t>D.2) Programa de Qualificação Profissional</w:t>
      </w:r>
    </w:p>
    <w:p>
      <w:pPr>
        <w:pStyle w:val="Normal"/>
        <w:spacing w:lineRule="auto" w:line="276"/>
        <w:jc w:val="both"/>
        <w:rPr>
          <w:rFonts w:ascii="Calibri" w:hAnsi="Calibri" w:cs="Arial"/>
          <w:b/>
          <w:b/>
        </w:rPr>
      </w:pPr>
      <w:r>
        <w:rPr>
          <w:rFonts w:cs="Arial" w:ascii="Calibri" w:hAnsi="Calibri"/>
        </w:rPr>
        <w:t xml:space="preserve">Cláusula 28ª da CCT – R$6,00 pela empresa, por empregado </w:t>
      </w:r>
    </w:p>
    <w:p>
      <w:pPr>
        <w:pStyle w:val="Normal"/>
        <w:jc w:val="both"/>
        <w:rPr>
          <w:rFonts w:ascii="Calibri" w:hAnsi="Calibri" w:cs="Arial"/>
          <w:sz w:val="18"/>
          <w:szCs w:val="18"/>
        </w:rPr>
      </w:pPr>
      <w:r>
        <w:rPr>
          <w:rFonts w:cs="Arial" w:ascii="Calibri" w:hAnsi="Calibri"/>
          <w:sz w:val="18"/>
          <w:szCs w:val="18"/>
        </w:rPr>
      </w:r>
    </w:p>
    <w:p>
      <w:pPr>
        <w:pStyle w:val="Normal"/>
        <w:spacing w:lineRule="auto" w:line="276"/>
        <w:jc w:val="both"/>
        <w:rPr>
          <w:rFonts w:ascii="Calibri" w:hAnsi="Calibri" w:cs="Arial"/>
        </w:rPr>
      </w:pPr>
      <w:r>
        <w:rPr>
          <w:rFonts w:cs="Arial" w:ascii="Calibri" w:hAnsi="Calibri"/>
        </w:rPr>
      </w:r>
    </w:p>
    <w:p>
      <w:pPr>
        <w:pStyle w:val="Normal"/>
        <w:jc w:val="both"/>
        <w:rPr>
          <w:rFonts w:ascii="Calibri" w:hAnsi="Calibri" w:cs="Arial"/>
          <w:b/>
          <w:b/>
          <w:u w:val="single"/>
        </w:rPr>
      </w:pPr>
      <w:r>
        <w:rPr>
          <w:rFonts w:cs="Arial" w:ascii="Calibri" w:hAnsi="Calibri"/>
          <w:b/>
          <w:u w:val="single"/>
        </w:rPr>
      </w:r>
    </w:p>
    <w:p>
      <w:pPr>
        <w:pStyle w:val="Normal"/>
        <w:jc w:val="both"/>
        <w:rPr>
          <w:rFonts w:ascii="Calibri" w:hAnsi="Calibri" w:cs="Arial"/>
          <w:b/>
          <w:b/>
          <w:u w:val="single"/>
        </w:rPr>
      </w:pPr>
      <w:r>
        <w:rPr>
          <w:rFonts w:cs="Arial" w:ascii="Calibri" w:hAnsi="Calibri"/>
          <w:b/>
          <w:u w:val="single"/>
        </w:rPr>
      </w:r>
    </w:p>
    <w:p>
      <w:pPr>
        <w:pStyle w:val="Normal"/>
        <w:jc w:val="both"/>
        <w:rPr>
          <w:rFonts w:ascii="Calibri" w:hAnsi="Calibri" w:cs="Arial"/>
          <w:b/>
          <w:b/>
          <w:u w:val="single"/>
        </w:rPr>
      </w:pPr>
      <w:r>
        <w:rPr>
          <w:rFonts w:cs="Arial" w:ascii="Calibri" w:hAnsi="Calibri"/>
          <w:b/>
          <w:u w:val="single"/>
        </w:rPr>
        <w:t>Módulo 3 – Provisão para Rescisão</w:t>
      </w:r>
    </w:p>
    <w:p>
      <w:pPr>
        <w:pStyle w:val="Normal"/>
        <w:jc w:val="both"/>
        <w:rPr>
          <w:rFonts w:ascii="Calibri" w:hAnsi="Calibri" w:cs="Arial"/>
          <w:u w:val="single"/>
          <w:lang w:val="pt-PT"/>
        </w:rPr>
      </w:pPr>
      <w:r>
        <w:rPr>
          <w:rFonts w:cs="Arial" w:ascii="Calibri" w:hAnsi="Calibri"/>
          <w:u w:val="single"/>
          <w:lang w:val="pt-PT"/>
        </w:rPr>
      </w:r>
    </w:p>
    <w:tbl>
      <w:tblPr>
        <w:tblW w:w="7938" w:type="dxa"/>
        <w:jc w:val="center"/>
        <w:tblInd w:w="0" w:type="dxa"/>
        <w:tblCellMar>
          <w:top w:w="0" w:type="dxa"/>
          <w:left w:w="70" w:type="dxa"/>
          <w:bottom w:w="0" w:type="dxa"/>
          <w:right w:w="70" w:type="dxa"/>
        </w:tblCellMar>
        <w:tblLook w:firstRow="1" w:noVBand="1" w:lastRow="0" w:firstColumn="1" w:lastColumn="0" w:noHBand="0" w:val="04a0"/>
      </w:tblPr>
      <w:tblGrid>
        <w:gridCol w:w="850"/>
        <w:gridCol w:w="2124"/>
        <w:gridCol w:w="3119"/>
        <w:gridCol w:w="1844"/>
      </w:tblGrid>
      <w:tr>
        <w:trPr>
          <w:trHeight w:val="510" w:hRule="atLeast"/>
        </w:trPr>
        <w:tc>
          <w:tcPr>
            <w:tcW w:w="850"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jc w:val="center"/>
              <w:rPr>
                <w:rFonts w:ascii="Calibri" w:hAnsi="Calibri" w:cs="Arial" w:asciiTheme="minorHAnsi" w:hAnsiTheme="minorHAnsi"/>
                <w:b/>
                <w:b/>
                <w:bCs/>
                <w:color w:val="000000"/>
                <w:sz w:val="18"/>
                <w:szCs w:val="18"/>
              </w:rPr>
            </w:pPr>
            <w:r>
              <w:rPr>
                <w:rFonts w:cs="Arial" w:ascii="Calibri" w:hAnsi="Calibri" w:asciiTheme="minorHAnsi" w:hAnsiTheme="minorHAnsi"/>
                <w:b/>
                <w:bCs/>
                <w:color w:val="000000"/>
                <w:sz w:val="18"/>
                <w:szCs w:val="18"/>
              </w:rPr>
              <w:t>3</w:t>
            </w:r>
          </w:p>
        </w:tc>
        <w:tc>
          <w:tcPr>
            <w:tcW w:w="2124"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jc w:val="center"/>
              <w:rPr>
                <w:rFonts w:ascii="Calibri" w:hAnsi="Calibri" w:cs="Arial" w:asciiTheme="minorHAnsi" w:hAnsiTheme="minorHAnsi"/>
                <w:b/>
                <w:b/>
                <w:bCs/>
                <w:color w:val="000000"/>
                <w:sz w:val="18"/>
                <w:szCs w:val="18"/>
              </w:rPr>
            </w:pPr>
            <w:r>
              <w:rPr>
                <w:rFonts w:cs="Arial" w:ascii="Calibri" w:hAnsi="Calibri" w:asciiTheme="minorHAnsi" w:hAnsiTheme="minorHAnsi"/>
                <w:b/>
                <w:bCs/>
                <w:color w:val="000000"/>
                <w:sz w:val="18"/>
                <w:szCs w:val="18"/>
              </w:rPr>
              <w:t>PROVISÃO PARA RESCISÃO</w:t>
            </w:r>
          </w:p>
        </w:tc>
        <w:tc>
          <w:tcPr>
            <w:tcW w:w="3119"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jc w:val="center"/>
              <w:rPr>
                <w:rFonts w:ascii="Calibri" w:hAnsi="Calibri" w:cs="Arial" w:asciiTheme="minorHAnsi" w:hAnsiTheme="minorHAnsi"/>
                <w:b/>
                <w:b/>
                <w:bCs/>
                <w:color w:val="000000"/>
                <w:sz w:val="18"/>
                <w:szCs w:val="18"/>
              </w:rPr>
            </w:pPr>
            <w:r>
              <w:rPr>
                <w:rFonts w:cs="Arial" w:ascii="Calibri" w:hAnsi="Calibri" w:asciiTheme="minorHAnsi" w:hAnsiTheme="minorHAnsi"/>
                <w:b/>
                <w:bCs/>
                <w:color w:val="000000"/>
                <w:sz w:val="18"/>
                <w:szCs w:val="18"/>
              </w:rPr>
              <w:t xml:space="preserve">MEMÓRIA DE CÁLCULO </w:t>
            </w:r>
          </w:p>
        </w:tc>
        <w:tc>
          <w:tcPr>
            <w:tcW w:w="1844"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jc w:val="center"/>
              <w:rPr>
                <w:rFonts w:ascii="Calibri" w:hAnsi="Calibri" w:cs="Arial" w:asciiTheme="minorHAnsi" w:hAnsiTheme="minorHAnsi"/>
                <w:b/>
                <w:b/>
                <w:bCs/>
                <w:color w:val="000000"/>
                <w:sz w:val="18"/>
                <w:szCs w:val="18"/>
              </w:rPr>
            </w:pPr>
            <w:r>
              <w:rPr>
                <w:rFonts w:cs="Arial" w:ascii="Calibri" w:hAnsi="Calibri" w:asciiTheme="minorHAnsi" w:hAnsiTheme="minorHAnsi"/>
                <w:b/>
                <w:bCs/>
                <w:color w:val="000000"/>
                <w:sz w:val="18"/>
                <w:szCs w:val="18"/>
              </w:rPr>
              <w:t>FUNDAMENTO</w:t>
            </w:r>
          </w:p>
        </w:tc>
      </w:tr>
      <w:tr>
        <w:trPr>
          <w:trHeight w:val="534" w:hRule="atLeast"/>
        </w:trPr>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asciiTheme="minorHAnsi" w:hAnsiTheme="minorHAnsi"/>
                <w:sz w:val="18"/>
                <w:szCs w:val="18"/>
              </w:rPr>
            </w:pPr>
            <w:r>
              <w:rPr>
                <w:rFonts w:cs="Arial" w:ascii="Calibri" w:hAnsi="Calibri" w:asciiTheme="minorHAnsi" w:hAnsiTheme="minorHAnsi"/>
                <w:sz w:val="18"/>
                <w:szCs w:val="18"/>
              </w:rPr>
              <w:t>A</w:t>
            </w:r>
          </w:p>
        </w:tc>
        <w:tc>
          <w:tcPr>
            <w:tcW w:w="21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asciiTheme="minorHAnsi" w:hAnsiTheme="minorHAnsi"/>
                <w:sz w:val="18"/>
                <w:szCs w:val="18"/>
              </w:rPr>
            </w:pPr>
            <w:r>
              <w:rPr>
                <w:rFonts w:cs="Arial" w:ascii="Calibri" w:hAnsi="Calibri" w:asciiTheme="minorHAnsi" w:hAnsiTheme="minorHAnsi"/>
                <w:sz w:val="18"/>
                <w:szCs w:val="18"/>
              </w:rPr>
              <w:t>Aviso prévio indenizado</w:t>
            </w:r>
          </w:p>
        </w:tc>
        <w:tc>
          <w:tcPr>
            <w:tcW w:w="31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asciiTheme="minorHAnsi" w:hAnsiTheme="minorHAnsi"/>
                <w:sz w:val="18"/>
                <w:szCs w:val="18"/>
              </w:rPr>
            </w:pPr>
            <w:r>
              <w:rPr>
                <w:rFonts w:cs="Arial" w:ascii="Calibri" w:hAnsi="Calibri" w:asciiTheme="minorHAnsi" w:hAnsiTheme="minorHAnsi"/>
                <w:sz w:val="18"/>
                <w:szCs w:val="18"/>
              </w:rPr>
              <w:t>[(Remuneração + 13º + Férias + 1/3 constitucional) / meses do ano] x indicador de rotatividade de dispensa sem justa causa =</w:t>
            </w:r>
            <w:r>
              <w:rPr>
                <w:rFonts w:cs="Arial" w:ascii="Calibri" w:hAnsi="Calibri" w:asciiTheme="minorHAnsi" w:hAnsiTheme="minorHAnsi"/>
                <w:b/>
                <w:color w:val="FF0000"/>
                <w:sz w:val="18"/>
                <w:szCs w:val="18"/>
              </w:rPr>
              <w:t xml:space="preserve"> 5%</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eastAsia="Calibri" w:cs="Arial" w:asciiTheme="minorHAnsi" w:eastAsiaTheme="minorHAnsi" w:hAnsiTheme="minorHAnsi"/>
                <w:sz w:val="18"/>
                <w:szCs w:val="18"/>
                <w:lang w:val="en-US" w:eastAsia="en-US"/>
              </w:rPr>
            </w:pPr>
            <w:r>
              <w:rPr>
                <w:rFonts w:eastAsia="Calibri" w:cs="Arial" w:ascii="Calibri" w:hAnsi="Calibri" w:asciiTheme="minorHAnsi" w:eastAsiaTheme="minorHAnsi" w:hAnsiTheme="minorHAnsi"/>
                <w:sz w:val="18"/>
                <w:szCs w:val="18"/>
                <w:lang w:val="en-US" w:eastAsia="en-US"/>
              </w:rPr>
              <w:t>Art. 7º, XXI, CF/88,</w:t>
            </w:r>
          </w:p>
          <w:p>
            <w:pPr>
              <w:pStyle w:val="Normal"/>
              <w:rPr>
                <w:rFonts w:ascii="Calibri" w:hAnsi="Calibri" w:cs="Arial" w:asciiTheme="minorHAnsi" w:hAnsiTheme="minorHAnsi"/>
                <w:sz w:val="18"/>
                <w:szCs w:val="18"/>
                <w:lang w:val="en-US"/>
              </w:rPr>
            </w:pPr>
            <w:r>
              <w:rPr>
                <w:rFonts w:eastAsia="Calibri" w:cs="Arial" w:ascii="Calibri" w:hAnsi="Calibri" w:asciiTheme="minorHAnsi" w:eastAsiaTheme="minorHAnsi" w:hAnsiTheme="minorHAnsi"/>
                <w:sz w:val="18"/>
                <w:szCs w:val="18"/>
                <w:lang w:val="en-US" w:eastAsia="en-US"/>
              </w:rPr>
              <w:t>477, 487 e 491 CLT</w:t>
            </w:r>
          </w:p>
        </w:tc>
      </w:tr>
      <w:tr>
        <w:trPr>
          <w:trHeight w:val="556" w:hRule="atLeast"/>
        </w:trPr>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asciiTheme="minorHAnsi" w:hAnsiTheme="minorHAnsi"/>
                <w:sz w:val="18"/>
                <w:szCs w:val="18"/>
              </w:rPr>
            </w:pPr>
            <w:r>
              <w:rPr>
                <w:rFonts w:cs="Arial" w:ascii="Calibri" w:hAnsi="Calibri" w:asciiTheme="minorHAnsi" w:hAnsiTheme="minorHAnsi"/>
                <w:sz w:val="18"/>
                <w:szCs w:val="18"/>
              </w:rPr>
              <w:t>B</w:t>
            </w:r>
          </w:p>
        </w:tc>
        <w:tc>
          <w:tcPr>
            <w:tcW w:w="21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asciiTheme="minorHAnsi" w:hAnsiTheme="minorHAnsi"/>
                <w:sz w:val="18"/>
                <w:szCs w:val="18"/>
              </w:rPr>
            </w:pPr>
            <w:r>
              <w:rPr>
                <w:rFonts w:eastAsia="Calibri" w:cs="Arial" w:ascii="Calibri" w:hAnsi="Calibri" w:asciiTheme="minorHAnsi" w:eastAsiaTheme="minorHAnsi" w:hAnsiTheme="minorHAnsi"/>
                <w:sz w:val="18"/>
                <w:szCs w:val="18"/>
                <w:lang w:eastAsia="en-US"/>
              </w:rPr>
              <w:t>Incidência do FGTS sobre o Aviso prévio indenizado.</w:t>
            </w:r>
          </w:p>
        </w:tc>
        <w:tc>
          <w:tcPr>
            <w:tcW w:w="31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eastAsia="Calibri" w:cs="Arial" w:asciiTheme="minorHAnsi" w:eastAsiaTheme="minorHAnsi" w:hAnsiTheme="minorHAnsi"/>
                <w:sz w:val="18"/>
                <w:szCs w:val="18"/>
                <w:lang w:eastAsia="en-US"/>
              </w:rPr>
            </w:pPr>
            <w:r>
              <w:rPr>
                <w:rFonts w:eastAsia="Calibri" w:cs="Arial" w:ascii="Calibri" w:hAnsi="Calibri" w:asciiTheme="minorHAnsi" w:eastAsiaTheme="minorHAnsi" w:hAnsiTheme="minorHAnsi"/>
                <w:sz w:val="18"/>
                <w:szCs w:val="18"/>
                <w:lang w:eastAsia="en-US"/>
              </w:rPr>
              <w:t>[(Remuneração + 13º) / 12)] x 5% x 8%</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eastAsia="Calibri" w:cs="Arial" w:asciiTheme="minorHAnsi" w:eastAsiaTheme="minorHAnsi" w:hAnsiTheme="minorHAnsi"/>
                <w:sz w:val="18"/>
                <w:szCs w:val="18"/>
                <w:lang w:eastAsia="en-US"/>
              </w:rPr>
            </w:pPr>
            <w:r>
              <w:rPr>
                <w:rFonts w:eastAsia="Calibri" w:cs="Arial" w:ascii="Calibri" w:hAnsi="Calibri" w:asciiTheme="minorHAnsi" w:eastAsiaTheme="minorHAnsi" w:hAnsiTheme="minorHAnsi"/>
                <w:sz w:val="18"/>
                <w:szCs w:val="18"/>
                <w:lang w:eastAsia="en-US"/>
              </w:rPr>
              <w:t>Súmula nº 305 do TST</w:t>
            </w:r>
          </w:p>
        </w:tc>
      </w:tr>
      <w:tr>
        <w:trPr>
          <w:trHeight w:val="550" w:hRule="atLeast"/>
        </w:trPr>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asciiTheme="minorHAnsi" w:hAnsiTheme="minorHAnsi"/>
                <w:sz w:val="18"/>
                <w:szCs w:val="18"/>
              </w:rPr>
            </w:pPr>
            <w:r>
              <w:rPr>
                <w:rFonts w:cs="Arial" w:ascii="Calibri" w:hAnsi="Calibri" w:asciiTheme="minorHAnsi" w:hAnsiTheme="minorHAnsi"/>
                <w:sz w:val="18"/>
                <w:szCs w:val="18"/>
              </w:rPr>
              <w:t>C</w:t>
            </w:r>
          </w:p>
        </w:tc>
        <w:tc>
          <w:tcPr>
            <w:tcW w:w="21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asciiTheme="minorHAnsi" w:hAnsiTheme="minorHAnsi"/>
                <w:sz w:val="18"/>
                <w:szCs w:val="18"/>
              </w:rPr>
            </w:pPr>
            <w:r>
              <w:rPr>
                <w:rFonts w:cs="Arial" w:ascii="Calibri" w:hAnsi="Calibri" w:asciiTheme="minorHAnsi" w:hAnsiTheme="minorHAnsi"/>
                <w:sz w:val="18"/>
                <w:szCs w:val="18"/>
              </w:rPr>
              <w:t>Multa do FGTS e Contribuição Social sobre Aviso Prévio Indenizado - 5%</w:t>
            </w:r>
          </w:p>
        </w:tc>
        <w:tc>
          <w:tcPr>
            <w:tcW w:w="31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asciiTheme="minorHAnsi" w:hAnsiTheme="minorHAnsi"/>
                <w:sz w:val="18"/>
                <w:szCs w:val="18"/>
              </w:rPr>
            </w:pPr>
            <w:r>
              <w:rPr>
                <w:rFonts w:cs="Arial" w:ascii="Calibri" w:hAnsi="Calibri" w:asciiTheme="minorHAnsi" w:hAnsiTheme="minorHAnsi"/>
                <w:sz w:val="18"/>
                <w:szCs w:val="18"/>
              </w:rPr>
              <w:t>Zerado. Consideramos a tabela de percentual da Conta Vinculada, Anexo XII, devido a ser proposto percentual único para a multa. Independente da quantidade de API e APT e da rotatividade do contrato, a multa, por ser linear, será calculada considerando 100% dos empregados.</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eastAsia="Calibri" w:cs="Arial" w:asciiTheme="minorHAnsi" w:eastAsiaTheme="minorHAnsi" w:hAnsiTheme="minorHAnsi"/>
                <w:sz w:val="18"/>
                <w:szCs w:val="18"/>
                <w:lang w:eastAsia="en-US"/>
              </w:rPr>
            </w:pPr>
            <w:r>
              <w:rPr>
                <w:rFonts w:eastAsia="Calibri" w:cs="Arial" w:ascii="Calibri" w:hAnsi="Calibri" w:asciiTheme="minorHAnsi" w:eastAsiaTheme="minorHAnsi" w:hAnsiTheme="minorHAnsi"/>
                <w:sz w:val="18"/>
                <w:szCs w:val="18"/>
                <w:lang w:eastAsia="en-US"/>
              </w:rPr>
              <w:t>Leis n.ºs 8.036/90 e</w:t>
            </w:r>
          </w:p>
          <w:p>
            <w:pPr>
              <w:pStyle w:val="Normal"/>
              <w:rPr>
                <w:rFonts w:ascii="Calibri" w:hAnsi="Calibri" w:cs="Arial" w:asciiTheme="minorHAnsi" w:hAnsiTheme="minorHAnsi"/>
                <w:sz w:val="18"/>
                <w:szCs w:val="18"/>
              </w:rPr>
            </w:pPr>
            <w:r>
              <w:rPr>
                <w:rFonts w:eastAsia="Calibri" w:cs="Arial" w:ascii="Calibri" w:hAnsi="Calibri" w:asciiTheme="minorHAnsi" w:eastAsiaTheme="minorHAnsi" w:hAnsiTheme="minorHAnsi"/>
                <w:sz w:val="18"/>
                <w:szCs w:val="18"/>
                <w:lang w:eastAsia="en-US"/>
              </w:rPr>
              <w:t>9.491/97</w:t>
            </w:r>
          </w:p>
        </w:tc>
      </w:tr>
      <w:tr>
        <w:trPr>
          <w:trHeight w:val="416" w:hRule="atLeast"/>
        </w:trPr>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asciiTheme="minorHAnsi" w:hAnsiTheme="minorHAnsi"/>
                <w:sz w:val="18"/>
                <w:szCs w:val="18"/>
              </w:rPr>
            </w:pPr>
            <w:r>
              <w:rPr>
                <w:rFonts w:cs="Arial" w:ascii="Calibri" w:hAnsi="Calibri" w:asciiTheme="minorHAnsi" w:hAnsiTheme="minorHAnsi"/>
                <w:sz w:val="18"/>
                <w:szCs w:val="18"/>
              </w:rPr>
              <w:t>D</w:t>
            </w:r>
          </w:p>
        </w:tc>
        <w:tc>
          <w:tcPr>
            <w:tcW w:w="21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asciiTheme="minorHAnsi" w:hAnsiTheme="minorHAnsi"/>
                <w:sz w:val="18"/>
                <w:szCs w:val="18"/>
              </w:rPr>
            </w:pPr>
            <w:r>
              <w:rPr>
                <w:rFonts w:cs="Arial" w:ascii="Calibri" w:hAnsi="Calibri" w:asciiTheme="minorHAnsi" w:hAnsiTheme="minorHAnsi"/>
                <w:sz w:val="18"/>
                <w:szCs w:val="18"/>
              </w:rPr>
              <w:t>Aviso Prévio Trabalhado</w:t>
            </w:r>
          </w:p>
        </w:tc>
        <w:tc>
          <w:tcPr>
            <w:tcW w:w="31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asciiTheme="minorHAnsi" w:hAnsiTheme="minorHAnsi"/>
                <w:sz w:val="18"/>
                <w:szCs w:val="18"/>
              </w:rPr>
            </w:pPr>
            <w:r>
              <w:rPr>
                <w:rFonts w:cs="Arial" w:ascii="Calibri" w:hAnsi="Calibri" w:asciiTheme="minorHAnsi" w:hAnsiTheme="minorHAnsi"/>
                <w:sz w:val="18"/>
                <w:szCs w:val="18"/>
              </w:rPr>
              <w:t>[(Remuneração + benefícios mensais e diários não dedutíveis, ex. beneficio social familiar) / dias do mês) / meses do ano] x 7 dias de redução da jornada.</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eastAsia="Calibri" w:cs="Arial" w:asciiTheme="minorHAnsi" w:eastAsiaTheme="minorHAnsi" w:hAnsiTheme="minorHAnsi"/>
                <w:sz w:val="18"/>
                <w:szCs w:val="18"/>
                <w:lang w:val="en-US" w:eastAsia="en-US"/>
              </w:rPr>
            </w:pPr>
            <w:r>
              <w:rPr>
                <w:rFonts w:eastAsia="Calibri" w:cs="Arial" w:ascii="Calibri" w:hAnsi="Calibri" w:asciiTheme="minorHAnsi" w:eastAsiaTheme="minorHAnsi" w:hAnsiTheme="minorHAnsi"/>
                <w:sz w:val="18"/>
                <w:szCs w:val="18"/>
                <w:lang w:val="en-US" w:eastAsia="en-US"/>
              </w:rPr>
              <w:t>Art. 7º, XXI, CF/88,</w:t>
            </w:r>
          </w:p>
          <w:p>
            <w:pPr>
              <w:pStyle w:val="Normal"/>
              <w:rPr>
                <w:rFonts w:ascii="Calibri" w:hAnsi="Calibri" w:cs="Arial" w:asciiTheme="minorHAnsi" w:hAnsiTheme="minorHAnsi"/>
                <w:sz w:val="18"/>
                <w:szCs w:val="18"/>
                <w:lang w:val="en-US"/>
              </w:rPr>
            </w:pPr>
            <w:r>
              <w:rPr>
                <w:rFonts w:eastAsia="Calibri" w:cs="Arial" w:ascii="Calibri" w:hAnsi="Calibri" w:asciiTheme="minorHAnsi" w:eastAsiaTheme="minorHAnsi" w:hAnsiTheme="minorHAnsi"/>
                <w:sz w:val="18"/>
                <w:szCs w:val="18"/>
                <w:lang w:val="en-US" w:eastAsia="en-US"/>
              </w:rPr>
              <w:t>477, 487 e 491 CLT.</w:t>
            </w:r>
          </w:p>
        </w:tc>
      </w:tr>
      <w:tr>
        <w:trPr>
          <w:trHeight w:val="563" w:hRule="atLeast"/>
        </w:trPr>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asciiTheme="minorHAnsi" w:hAnsiTheme="minorHAnsi"/>
                <w:sz w:val="18"/>
                <w:szCs w:val="18"/>
              </w:rPr>
            </w:pPr>
            <w:r>
              <w:rPr>
                <w:rFonts w:cs="Arial" w:ascii="Calibri" w:hAnsi="Calibri" w:asciiTheme="minorHAnsi" w:hAnsiTheme="minorHAnsi"/>
                <w:sz w:val="18"/>
                <w:szCs w:val="18"/>
              </w:rPr>
              <w:t>E</w:t>
            </w:r>
          </w:p>
        </w:tc>
        <w:tc>
          <w:tcPr>
            <w:tcW w:w="21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asciiTheme="minorHAnsi" w:hAnsiTheme="minorHAnsi"/>
                <w:sz w:val="18"/>
                <w:szCs w:val="18"/>
              </w:rPr>
            </w:pPr>
            <w:r>
              <w:rPr>
                <w:rFonts w:cs="Arial" w:ascii="Calibri" w:hAnsi="Calibri" w:asciiTheme="minorHAnsi" w:hAnsiTheme="minorHAnsi"/>
                <w:sz w:val="18"/>
                <w:szCs w:val="18"/>
              </w:rPr>
              <w:t>Incidência dos encargos do Submódulo 2.2 sobre Aviso Prévio Trabalhado.</w:t>
            </w:r>
          </w:p>
        </w:tc>
        <w:tc>
          <w:tcPr>
            <w:tcW w:w="31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asciiTheme="minorHAnsi" w:hAnsiTheme="minorHAnsi"/>
                <w:sz w:val="18"/>
                <w:szCs w:val="18"/>
              </w:rPr>
            </w:pPr>
            <w:r>
              <w:rPr>
                <w:rFonts w:cs="Arial" w:ascii="Calibri" w:hAnsi="Calibri" w:asciiTheme="minorHAnsi" w:hAnsiTheme="minorHAnsi"/>
                <w:sz w:val="18"/>
                <w:szCs w:val="18"/>
              </w:rPr>
              <w:t>[(Remuneração / dias do mês) / meses do ano] x 7 dias de redução da jornada x 8%</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asciiTheme="minorHAnsi" w:hAnsiTheme="minorHAnsi"/>
                <w:sz w:val="18"/>
                <w:szCs w:val="18"/>
              </w:rPr>
            </w:pPr>
            <w:r>
              <w:rPr>
                <w:rFonts w:cs="Arial" w:ascii="Calibri" w:hAnsi="Calibri" w:asciiTheme="minorHAnsi" w:hAnsiTheme="minorHAnsi"/>
                <w:sz w:val="18"/>
                <w:szCs w:val="18"/>
              </w:rPr>
              <w:t>-</w:t>
            </w:r>
          </w:p>
        </w:tc>
      </w:tr>
      <w:tr>
        <w:trPr>
          <w:trHeight w:val="558" w:hRule="atLeast"/>
        </w:trPr>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asciiTheme="minorHAnsi" w:hAnsiTheme="minorHAnsi"/>
                <w:sz w:val="18"/>
                <w:szCs w:val="18"/>
              </w:rPr>
            </w:pPr>
            <w:r>
              <w:rPr>
                <w:rFonts w:cs="Arial" w:ascii="Calibri" w:hAnsi="Calibri" w:asciiTheme="minorHAnsi" w:hAnsiTheme="minorHAnsi"/>
                <w:sz w:val="18"/>
                <w:szCs w:val="18"/>
              </w:rPr>
              <w:t>F</w:t>
            </w:r>
          </w:p>
        </w:tc>
        <w:tc>
          <w:tcPr>
            <w:tcW w:w="21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asciiTheme="minorHAnsi" w:hAnsiTheme="minorHAnsi"/>
                <w:sz w:val="18"/>
                <w:szCs w:val="18"/>
              </w:rPr>
            </w:pPr>
            <w:r>
              <w:rPr>
                <w:rFonts w:cs="Arial" w:ascii="Calibri" w:hAnsi="Calibri" w:asciiTheme="minorHAnsi" w:hAnsiTheme="minorHAnsi"/>
                <w:sz w:val="18"/>
                <w:szCs w:val="18"/>
              </w:rPr>
              <w:t>Multa FGTS e Contribuição Social sobre o Aviso Prévio Trabalhado – 100%</w:t>
            </w:r>
          </w:p>
        </w:tc>
        <w:tc>
          <w:tcPr>
            <w:tcW w:w="31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asciiTheme="minorHAnsi" w:hAnsiTheme="minorHAnsi"/>
                <w:sz w:val="18"/>
                <w:szCs w:val="18"/>
              </w:rPr>
            </w:pPr>
            <w:r>
              <w:rPr>
                <w:rFonts w:cs="Arial" w:ascii="Calibri" w:hAnsi="Calibri" w:asciiTheme="minorHAnsi" w:hAnsiTheme="minorHAnsi"/>
                <w:sz w:val="18"/>
                <w:szCs w:val="18"/>
              </w:rPr>
              <w:t>Consideramos a tabela de percentual da Conta Vinculada, Anexo XII, devido a ser proposto percentual único para a multa. Independente da quantidade de API e APT e da rotatividade do contrato, a multa, por ser linear, será calculada considerando 100% dos empregados.</w:t>
            </w:r>
          </w:p>
          <w:p>
            <w:pPr>
              <w:pStyle w:val="Normal"/>
              <w:rPr>
                <w:rFonts w:ascii="Calibri" w:hAnsi="Calibri" w:cs="Arial" w:asciiTheme="minorHAnsi" w:hAnsiTheme="minorHAnsi"/>
                <w:sz w:val="18"/>
                <w:szCs w:val="18"/>
              </w:rPr>
            </w:pPr>
            <w:r>
              <w:rPr>
                <w:rFonts w:cs="Arial" w:ascii="Calibri" w:hAnsi="Calibri"/>
                <w:sz w:val="18"/>
                <w:szCs w:val="18"/>
              </w:rPr>
            </w:r>
          </w:p>
          <w:p>
            <w:pPr>
              <w:pStyle w:val="Normal"/>
              <w:rPr>
                <w:rFonts w:ascii="Calibri" w:hAnsi="Calibri" w:cs="Arial" w:asciiTheme="minorHAnsi" w:hAnsiTheme="minorHAnsi"/>
                <w:sz w:val="18"/>
                <w:szCs w:val="18"/>
              </w:rPr>
            </w:pPr>
            <w:r>
              <w:rPr>
                <w:rFonts w:cs="Arial" w:ascii="Calibri" w:hAnsi="Calibri" w:asciiTheme="minorHAnsi" w:hAnsiTheme="minorHAnsi"/>
                <w:sz w:val="18"/>
                <w:szCs w:val="18"/>
              </w:rPr>
              <w:t xml:space="preserve">Remuneração x </w:t>
            </w:r>
            <w:r>
              <w:rPr>
                <w:rFonts w:cs="Arial" w:ascii="Calibri" w:hAnsi="Calibri" w:asciiTheme="minorHAnsi" w:hAnsiTheme="minorHAnsi"/>
                <w:b/>
                <w:color w:val="FF0000"/>
                <w:sz w:val="18"/>
                <w:szCs w:val="18"/>
              </w:rPr>
              <w:t xml:space="preserve">4% </w:t>
            </w:r>
            <w:r>
              <w:rPr>
                <w:rFonts w:cs="Arial" w:ascii="Calibri" w:hAnsi="Calibri" w:asciiTheme="minorHAnsi" w:hAnsiTheme="minorHAnsi"/>
                <w:b/>
                <w:sz w:val="18"/>
                <w:szCs w:val="18"/>
              </w:rPr>
              <w:t>(Anexo XII, IN 05/2017)</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eastAsia="Calibri" w:cs="Arial" w:asciiTheme="minorHAnsi" w:eastAsiaTheme="minorHAnsi" w:hAnsiTheme="minorHAnsi"/>
                <w:sz w:val="18"/>
                <w:szCs w:val="18"/>
                <w:lang w:val="en-US" w:eastAsia="en-US"/>
              </w:rPr>
            </w:pPr>
            <w:r>
              <w:rPr>
                <w:rFonts w:eastAsia="Calibri" w:cs="Arial" w:ascii="Calibri" w:hAnsi="Calibri" w:asciiTheme="minorHAnsi" w:eastAsiaTheme="minorHAnsi" w:hAnsiTheme="minorHAnsi"/>
                <w:sz w:val="18"/>
                <w:szCs w:val="18"/>
                <w:lang w:val="en-US" w:eastAsia="en-US"/>
              </w:rPr>
              <w:t>Art. 7º, XXI, CF/88,</w:t>
            </w:r>
          </w:p>
          <w:p>
            <w:pPr>
              <w:pStyle w:val="Normal"/>
              <w:rPr>
                <w:rFonts w:ascii="Calibri" w:hAnsi="Calibri" w:cs="Arial" w:asciiTheme="minorHAnsi" w:hAnsiTheme="minorHAnsi"/>
                <w:sz w:val="18"/>
                <w:szCs w:val="18"/>
                <w:lang w:val="en-US"/>
              </w:rPr>
            </w:pPr>
            <w:r>
              <w:rPr>
                <w:rFonts w:eastAsia="Calibri" w:cs="Arial" w:ascii="Calibri" w:hAnsi="Calibri" w:asciiTheme="minorHAnsi" w:eastAsiaTheme="minorHAnsi" w:hAnsiTheme="minorHAnsi"/>
                <w:sz w:val="18"/>
                <w:szCs w:val="18"/>
                <w:lang w:val="en-US" w:eastAsia="en-US"/>
              </w:rPr>
              <w:t>477, 487 e 491 CLT.</w:t>
            </w:r>
          </w:p>
        </w:tc>
      </w:tr>
      <w:tr>
        <w:trPr>
          <w:trHeight w:val="411" w:hRule="atLeast"/>
        </w:trPr>
        <w:tc>
          <w:tcPr>
            <w:tcW w:w="850" w:type="dxa"/>
            <w:tcBorders>
              <w:top w:val="single" w:sz="4" w:space="0" w:color="000000"/>
              <w:left w:val="single" w:sz="4" w:space="0" w:color="000000"/>
              <w:bottom w:val="single" w:sz="4" w:space="0" w:color="000000"/>
            </w:tcBorders>
            <w:shd w:color="auto" w:fill="EAF1DD" w:themeFill="accent3" w:themeFillTint="33" w:val="clear"/>
            <w:vAlign w:val="center"/>
          </w:tcPr>
          <w:p>
            <w:pPr>
              <w:pStyle w:val="Normal"/>
              <w:jc w:val="center"/>
              <w:rPr>
                <w:rFonts w:ascii="Calibri" w:hAnsi="Calibri" w:cs="Arial" w:asciiTheme="minorHAnsi" w:hAnsiTheme="minorHAnsi"/>
                <w:sz w:val="18"/>
                <w:szCs w:val="18"/>
                <w:lang w:val="en-US"/>
              </w:rPr>
            </w:pPr>
            <w:r>
              <w:rPr>
                <w:rFonts w:cs="Arial" w:ascii="Calibri" w:hAnsi="Calibri"/>
                <w:sz w:val="18"/>
                <w:szCs w:val="18"/>
                <w:lang w:val="en-US"/>
              </w:rPr>
            </w:r>
          </w:p>
        </w:tc>
        <w:tc>
          <w:tcPr>
            <w:tcW w:w="2124" w:type="dxa"/>
            <w:tcBorders>
              <w:top w:val="single" w:sz="4" w:space="0" w:color="000000"/>
              <w:bottom w:val="single" w:sz="4" w:space="0" w:color="000000"/>
              <w:right w:val="single" w:sz="4" w:space="0" w:color="000000"/>
            </w:tcBorders>
            <w:shd w:color="auto" w:fill="EAF1DD" w:themeFill="accent3" w:themeFillTint="33" w:val="clear"/>
            <w:vAlign w:val="center"/>
          </w:tcPr>
          <w:p>
            <w:pPr>
              <w:pStyle w:val="Normal"/>
              <w:rPr>
                <w:rFonts w:ascii="Calibri" w:hAnsi="Calibri" w:cs="Arial" w:asciiTheme="minorHAnsi" w:hAnsiTheme="minorHAnsi"/>
                <w:sz w:val="18"/>
                <w:szCs w:val="18"/>
              </w:rPr>
            </w:pPr>
            <w:r>
              <w:rPr>
                <w:rFonts w:cs="Arial" w:ascii="Calibri" w:hAnsi="Calibri" w:asciiTheme="minorHAnsi" w:hAnsiTheme="minorHAnsi"/>
                <w:sz w:val="18"/>
                <w:szCs w:val="18"/>
              </w:rPr>
              <w:t>Total</w:t>
            </w:r>
          </w:p>
        </w:tc>
        <w:tc>
          <w:tcPr>
            <w:tcW w:w="3119"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rPr>
                <w:rFonts w:ascii="Calibri" w:hAnsi="Calibri" w:eastAsia="Calibri" w:cs="Arial" w:asciiTheme="minorHAnsi" w:eastAsiaTheme="minorHAnsi" w:hAnsiTheme="minorHAnsi"/>
                <w:sz w:val="18"/>
                <w:szCs w:val="18"/>
                <w:lang w:eastAsia="en-US"/>
              </w:rPr>
            </w:pPr>
            <w:r>
              <w:rPr>
                <w:rFonts w:eastAsia="Calibri" w:cs="Arial" w:eastAsiaTheme="minorHAnsi" w:ascii="Calibri" w:hAnsi="Calibri"/>
                <w:sz w:val="18"/>
                <w:szCs w:val="18"/>
                <w:lang w:eastAsia="en-US"/>
              </w:rPr>
            </w:r>
          </w:p>
        </w:tc>
        <w:tc>
          <w:tcPr>
            <w:tcW w:w="1844"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rPr>
                <w:rFonts w:ascii="Calibri" w:hAnsi="Calibri" w:eastAsia="Calibri" w:cs="Arial" w:asciiTheme="minorHAnsi" w:eastAsiaTheme="minorHAnsi" w:hAnsiTheme="minorHAnsi"/>
                <w:sz w:val="18"/>
                <w:szCs w:val="18"/>
                <w:lang w:eastAsia="en-US"/>
              </w:rPr>
            </w:pPr>
            <w:r>
              <w:rPr>
                <w:rFonts w:eastAsia="Calibri" w:cs="Arial" w:eastAsiaTheme="minorHAnsi" w:ascii="Calibri" w:hAnsi="Calibri"/>
                <w:sz w:val="18"/>
                <w:szCs w:val="18"/>
                <w:lang w:eastAsia="en-US"/>
              </w:rPr>
            </w:r>
          </w:p>
        </w:tc>
      </w:tr>
    </w:tbl>
    <w:p>
      <w:pPr>
        <w:pStyle w:val="Normal"/>
        <w:ind w:left="426" w:hanging="0"/>
        <w:jc w:val="both"/>
        <w:rPr>
          <w:rFonts w:ascii="Calibri" w:hAnsi="Calibri" w:eastAsia="Calibri" w:cs="Arial" w:asciiTheme="minorHAnsi" w:eastAsiaTheme="minorHAnsi" w:hAnsiTheme="minorHAnsi"/>
          <w:sz w:val="16"/>
          <w:szCs w:val="16"/>
          <w:lang w:eastAsia="en-US"/>
        </w:rPr>
      </w:pPr>
      <w:r>
        <w:rPr>
          <w:rFonts w:eastAsia="Calibri" w:cs="Arial" w:ascii="Calibri" w:hAnsi="Calibri" w:asciiTheme="minorHAnsi" w:eastAsiaTheme="minorHAnsi" w:hAnsiTheme="minorHAnsi"/>
          <w:sz w:val="16"/>
          <w:szCs w:val="16"/>
          <w:lang w:eastAsia="en-US"/>
        </w:rPr>
        <w:t>OBSERVAÇÕES: Nota Técnica nº 652/2017 - MP</w:t>
      </w:r>
    </w:p>
    <w:p>
      <w:pPr>
        <w:pStyle w:val="Normal"/>
        <w:ind w:left="426" w:hanging="0"/>
        <w:jc w:val="both"/>
        <w:rPr>
          <w:rFonts w:ascii="Calibri" w:hAnsi="Calibri" w:eastAsia="Calibri" w:cs="Arial" w:asciiTheme="minorHAnsi" w:eastAsiaTheme="minorHAnsi" w:hAnsiTheme="minorHAnsi"/>
          <w:sz w:val="16"/>
          <w:szCs w:val="16"/>
          <w:lang w:eastAsia="en-US"/>
        </w:rPr>
      </w:pPr>
      <w:r>
        <w:rPr>
          <w:rFonts w:eastAsia="Calibri" w:cs="Arial" w:eastAsiaTheme="minorHAnsi" w:ascii="Calibri" w:hAnsi="Calibri"/>
          <w:sz w:val="16"/>
          <w:szCs w:val="16"/>
          <w:lang w:eastAsia="en-US"/>
        </w:rPr>
      </w:r>
    </w:p>
    <w:p>
      <w:pPr>
        <w:pStyle w:val="Normal"/>
        <w:ind w:left="426" w:hanging="0"/>
        <w:jc w:val="both"/>
        <w:rPr>
          <w:rFonts w:ascii="Calibri" w:hAnsi="Calibri" w:eastAsia="Calibri" w:cs="Arial" w:asciiTheme="minorHAnsi" w:eastAsiaTheme="minorHAnsi" w:hAnsiTheme="minorHAnsi"/>
          <w:sz w:val="16"/>
          <w:szCs w:val="16"/>
          <w:lang w:eastAsia="en-US"/>
        </w:rPr>
      </w:pPr>
      <w:r>
        <w:rPr>
          <w:rFonts w:eastAsia="Calibri" w:cs="Arial" w:eastAsiaTheme="minorHAnsi" w:ascii="Calibri" w:hAnsi="Calibri"/>
          <w:sz w:val="16"/>
          <w:szCs w:val="16"/>
          <w:lang w:eastAsia="en-US"/>
        </w:rPr>
      </w:r>
    </w:p>
    <w:p>
      <w:pPr>
        <w:pStyle w:val="Normal"/>
        <w:jc w:val="both"/>
        <w:rPr>
          <w:rFonts w:ascii="Calibri" w:hAnsi="Calibri" w:cs="Arial"/>
          <w:b/>
          <w:b/>
          <w:color w:val="FF0000"/>
          <w:u w:val="single"/>
        </w:rPr>
      </w:pPr>
      <w:r>
        <w:rPr>
          <w:rFonts w:cs="Arial" w:ascii="Calibri" w:hAnsi="Calibri"/>
          <w:b/>
          <w:u w:val="single"/>
        </w:rPr>
        <w:t xml:space="preserve">Módulo 4 – Custo de Reposição de Profissional Ausente </w:t>
      </w:r>
    </w:p>
    <w:p>
      <w:pPr>
        <w:pStyle w:val="Normal"/>
        <w:rPr>
          <w:rFonts w:ascii="Calibri" w:hAnsi="Calibri" w:cs="Arial"/>
        </w:rPr>
      </w:pPr>
      <w:r>
        <w:rPr>
          <w:rFonts w:cs="Arial" w:ascii="Calibri" w:hAnsi="Calibri"/>
        </w:rPr>
      </w:r>
    </w:p>
    <w:p>
      <w:pPr>
        <w:pStyle w:val="Normal"/>
        <w:jc w:val="both"/>
        <w:rPr>
          <w:rFonts w:ascii="Calibri" w:hAnsi="Calibri" w:cs="Arial"/>
          <w:u w:val="single"/>
          <w:lang w:val="pt-PT"/>
        </w:rPr>
      </w:pPr>
      <w:r>
        <w:rPr>
          <w:rFonts w:cs="Arial" w:ascii="Calibri" w:hAnsi="Calibri"/>
          <w:u w:val="single"/>
          <w:lang w:val="pt-PT"/>
        </w:rPr>
        <w:t>Submódulo 4.1 – Ausências Legais</w:t>
      </w:r>
    </w:p>
    <w:p>
      <w:pPr>
        <w:pStyle w:val="Normal"/>
        <w:rPr>
          <w:rFonts w:ascii="Calibri" w:hAnsi="Calibri" w:cs="Arial"/>
          <w:lang w:val="pt-PT"/>
        </w:rPr>
      </w:pPr>
      <w:r>
        <w:rPr>
          <w:rFonts w:cs="Arial" w:ascii="Calibri" w:hAnsi="Calibri"/>
          <w:lang w:val="pt-PT"/>
        </w:rPr>
      </w:r>
    </w:p>
    <w:tbl>
      <w:tblPr>
        <w:tblW w:w="10338" w:type="dxa"/>
        <w:jc w:val="center"/>
        <w:tblInd w:w="0" w:type="dxa"/>
        <w:tblCellMar>
          <w:top w:w="0" w:type="dxa"/>
          <w:left w:w="70" w:type="dxa"/>
          <w:bottom w:w="0" w:type="dxa"/>
          <w:right w:w="70" w:type="dxa"/>
        </w:tblCellMar>
        <w:tblLook w:firstRow="1" w:noVBand="1" w:lastRow="0" w:firstColumn="1" w:lastColumn="0" w:noHBand="0" w:val="04a0"/>
      </w:tblPr>
      <w:tblGrid>
        <w:gridCol w:w="543"/>
        <w:gridCol w:w="2031"/>
        <w:gridCol w:w="3522"/>
        <w:gridCol w:w="4241"/>
      </w:tblGrid>
      <w:tr>
        <w:trPr>
          <w:tblHeader w:val="true"/>
          <w:trHeight w:val="510" w:hRule="atLeast"/>
        </w:trPr>
        <w:tc>
          <w:tcPr>
            <w:tcW w:w="543"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jc w:val="center"/>
              <w:rPr>
                <w:rFonts w:ascii="Calibri" w:hAnsi="Calibri" w:cs="Arial"/>
                <w:b/>
                <w:b/>
                <w:bCs/>
                <w:color w:val="000000"/>
                <w:sz w:val="18"/>
                <w:szCs w:val="18"/>
              </w:rPr>
            </w:pPr>
            <w:r>
              <w:rPr>
                <w:rFonts w:cs="Arial" w:ascii="Calibri" w:hAnsi="Calibri"/>
                <w:b/>
                <w:bCs/>
                <w:color w:val="000000"/>
                <w:sz w:val="18"/>
                <w:szCs w:val="18"/>
              </w:rPr>
              <w:t>4.1</w:t>
            </w:r>
          </w:p>
        </w:tc>
        <w:tc>
          <w:tcPr>
            <w:tcW w:w="2031"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jc w:val="center"/>
              <w:rPr>
                <w:rFonts w:ascii="Calibri" w:hAnsi="Calibri" w:cs="Arial"/>
                <w:b/>
                <w:b/>
                <w:bCs/>
                <w:color w:val="000000"/>
                <w:sz w:val="18"/>
                <w:szCs w:val="18"/>
              </w:rPr>
            </w:pPr>
            <w:r>
              <w:rPr>
                <w:rFonts w:cs="Arial" w:ascii="Calibri" w:hAnsi="Calibri"/>
                <w:b/>
                <w:bCs/>
                <w:color w:val="000000"/>
                <w:sz w:val="18"/>
                <w:szCs w:val="18"/>
              </w:rPr>
              <w:t>Ausências Legais</w:t>
            </w:r>
          </w:p>
        </w:tc>
        <w:tc>
          <w:tcPr>
            <w:tcW w:w="3522"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jc w:val="center"/>
              <w:rPr>
                <w:rFonts w:ascii="Calibri" w:hAnsi="Calibri" w:cs="Arial"/>
                <w:b/>
                <w:b/>
                <w:bCs/>
                <w:color w:val="000000"/>
                <w:sz w:val="18"/>
                <w:szCs w:val="18"/>
              </w:rPr>
            </w:pPr>
            <w:r>
              <w:rPr>
                <w:rFonts w:cs="Arial" w:ascii="Calibri" w:hAnsi="Calibri"/>
                <w:b/>
                <w:bCs/>
                <w:color w:val="000000"/>
                <w:sz w:val="18"/>
                <w:szCs w:val="18"/>
              </w:rPr>
              <w:t xml:space="preserve">MEMÓRIA DE CÁLCULO </w:t>
            </w:r>
          </w:p>
        </w:tc>
        <w:tc>
          <w:tcPr>
            <w:tcW w:w="4241"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jc w:val="center"/>
              <w:rPr>
                <w:rFonts w:ascii="Calibri" w:hAnsi="Calibri" w:cs="Arial"/>
                <w:b/>
                <w:b/>
                <w:bCs/>
                <w:color w:val="000000"/>
                <w:sz w:val="18"/>
                <w:szCs w:val="18"/>
              </w:rPr>
            </w:pPr>
            <w:r>
              <w:rPr>
                <w:rFonts w:cs="Arial" w:ascii="Calibri" w:hAnsi="Calibri"/>
                <w:b/>
                <w:bCs/>
                <w:color w:val="000000"/>
                <w:sz w:val="18"/>
                <w:szCs w:val="18"/>
              </w:rPr>
              <w:t>FUNDAMENTO</w:t>
            </w:r>
          </w:p>
        </w:tc>
      </w:tr>
      <w:tr>
        <w:trPr>
          <w:trHeight w:val="461" w:hRule="atLeast"/>
        </w:trPr>
        <w:tc>
          <w:tcPr>
            <w:tcW w:w="5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sz w:val="18"/>
                <w:szCs w:val="18"/>
              </w:rPr>
            </w:pPr>
            <w:r>
              <w:rPr>
                <w:rFonts w:cs="Arial" w:ascii="Calibri" w:hAnsi="Calibri"/>
                <w:sz w:val="18"/>
                <w:szCs w:val="18"/>
              </w:rPr>
              <w:t>A</w:t>
            </w:r>
          </w:p>
        </w:tc>
        <w:tc>
          <w:tcPr>
            <w:tcW w:w="20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asciiTheme="minorHAnsi" w:hAnsiTheme="minorHAnsi"/>
                <w:sz w:val="18"/>
                <w:szCs w:val="18"/>
              </w:rPr>
            </w:pPr>
            <w:r>
              <w:rPr>
                <w:rFonts w:cs="Arial" w:ascii="Calibri" w:hAnsi="Calibri" w:asciiTheme="minorHAnsi" w:hAnsiTheme="minorHAnsi"/>
                <w:color w:val="000000"/>
                <w:sz w:val="18"/>
                <w:szCs w:val="18"/>
                <w:shd w:fill="FFFFFF" w:val="clear"/>
              </w:rPr>
              <w:t>Substituto na cobertura de Férias</w:t>
            </w:r>
          </w:p>
        </w:tc>
        <w:tc>
          <w:tcPr>
            <w:tcW w:w="3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sz w:val="18"/>
                <w:szCs w:val="18"/>
              </w:rPr>
            </w:pPr>
            <w:r>
              <w:rPr>
                <w:rFonts w:cs="Arial" w:ascii="Calibri" w:hAnsi="Calibri"/>
                <w:sz w:val="18"/>
                <w:szCs w:val="18"/>
              </w:rPr>
              <w:t>Esse custo será zerado no primeiro ano.</w:t>
            </w:r>
          </w:p>
        </w:tc>
        <w:tc>
          <w:tcPr>
            <w:tcW w:w="42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Calibri" w:hAnsi="Calibri" w:cs="Arial" w:asciiTheme="minorHAnsi" w:hAnsiTheme="minorHAnsi"/>
                <w:sz w:val="18"/>
                <w:szCs w:val="18"/>
              </w:rPr>
            </w:pPr>
            <w:r>
              <w:rPr>
                <w:rFonts w:cs="Arial" w:ascii="Calibri" w:hAnsi="Calibri" w:asciiTheme="minorHAnsi" w:hAnsiTheme="minorHAnsi"/>
                <w:sz w:val="18"/>
                <w:szCs w:val="18"/>
              </w:rPr>
              <w:t>-</w:t>
            </w:r>
          </w:p>
          <w:p>
            <w:pPr>
              <w:pStyle w:val="Normal"/>
              <w:jc w:val="both"/>
              <w:rPr>
                <w:rFonts w:ascii="Calibri" w:hAnsi="Calibri" w:cs="Arial" w:asciiTheme="minorHAnsi" w:hAnsiTheme="minorHAnsi"/>
                <w:sz w:val="18"/>
                <w:szCs w:val="18"/>
              </w:rPr>
            </w:pPr>
            <w:r>
              <w:rPr>
                <w:rFonts w:cs="Arial" w:ascii="Calibri" w:hAnsi="Calibri"/>
                <w:sz w:val="18"/>
                <w:szCs w:val="18"/>
              </w:rPr>
            </w:r>
          </w:p>
        </w:tc>
      </w:tr>
      <w:tr>
        <w:trPr>
          <w:trHeight w:val="422" w:hRule="atLeast"/>
        </w:trPr>
        <w:tc>
          <w:tcPr>
            <w:tcW w:w="5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sz w:val="18"/>
                <w:szCs w:val="18"/>
              </w:rPr>
            </w:pPr>
            <w:r>
              <w:rPr>
                <w:rFonts w:cs="Arial" w:ascii="Calibri" w:hAnsi="Calibri"/>
                <w:sz w:val="18"/>
                <w:szCs w:val="18"/>
              </w:rPr>
              <w:t>B</w:t>
            </w:r>
          </w:p>
        </w:tc>
        <w:tc>
          <w:tcPr>
            <w:tcW w:w="20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asciiTheme="minorHAnsi" w:hAnsiTheme="minorHAnsi"/>
                <w:sz w:val="18"/>
                <w:szCs w:val="18"/>
              </w:rPr>
            </w:pPr>
            <w:r>
              <w:rPr>
                <w:rFonts w:cs="Arial" w:ascii="Calibri" w:hAnsi="Calibri" w:asciiTheme="minorHAnsi" w:hAnsiTheme="minorHAnsi"/>
                <w:color w:val="000000"/>
                <w:sz w:val="18"/>
                <w:szCs w:val="18"/>
                <w:shd w:fill="FFFFFF" w:val="clear"/>
              </w:rPr>
              <w:t>Substituto na cobertura de Ausências Legais</w:t>
            </w:r>
          </w:p>
        </w:tc>
        <w:tc>
          <w:tcPr>
            <w:tcW w:w="3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sz w:val="18"/>
                <w:szCs w:val="18"/>
              </w:rPr>
            </w:pPr>
            <w:r>
              <w:rPr>
                <w:rFonts w:cs="Arial" w:ascii="Calibri" w:hAnsi="Calibri"/>
                <w:sz w:val="18"/>
                <w:szCs w:val="18"/>
              </w:rPr>
              <w:t>AL= nDR(AL) x CDR / 12</w:t>
            </w:r>
          </w:p>
        </w:tc>
        <w:tc>
          <w:tcPr>
            <w:tcW w:w="42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eastAsia="Calibri" w:cs="Arial" w:eastAsiaTheme="minorHAnsi"/>
                <w:sz w:val="18"/>
                <w:szCs w:val="18"/>
                <w:lang w:eastAsia="en-US"/>
              </w:rPr>
            </w:pPr>
            <w:r>
              <w:rPr>
                <w:rFonts w:eastAsia="Calibri" w:cs="Arial" w:ascii="Calibri" w:hAnsi="Calibri" w:eastAsiaTheme="minorHAnsi"/>
                <w:sz w:val="18"/>
                <w:szCs w:val="18"/>
                <w:lang w:eastAsia="en-US"/>
              </w:rPr>
              <w:t>Art. 473 da CLT / Acórdão TCU 1.753/2008:  Calculado segundo estimativa do MPOG (manual de preenchimento, pg 54).</w:t>
            </w:r>
          </w:p>
          <w:p>
            <w:pPr>
              <w:pStyle w:val="Normal"/>
              <w:rPr>
                <w:rFonts w:ascii="Calibri" w:hAnsi="Calibri" w:cs="Arial"/>
                <w:sz w:val="18"/>
                <w:szCs w:val="18"/>
              </w:rPr>
            </w:pPr>
            <w:r>
              <w:rPr>
                <w:rFonts w:cs="Arial" w:ascii="Calibri" w:hAnsi="Calibri"/>
                <w:b/>
                <w:sz w:val="18"/>
                <w:szCs w:val="18"/>
              </w:rPr>
              <w:t>nDR(AL)</w:t>
            </w:r>
            <w:r>
              <w:rPr>
                <w:rFonts w:cs="Arial" w:ascii="Calibri" w:hAnsi="Calibri"/>
                <w:sz w:val="18"/>
                <w:szCs w:val="18"/>
              </w:rPr>
              <w:t xml:space="preserve"> - nº médio anual de dias de ausencias legais por ano = </w:t>
            </w:r>
            <w:r>
              <w:rPr>
                <w:rFonts w:cs="Arial" w:ascii="Calibri" w:hAnsi="Calibri"/>
                <w:b/>
                <w:sz w:val="18"/>
                <w:szCs w:val="18"/>
              </w:rPr>
              <w:t>2,96</w:t>
            </w:r>
          </w:p>
        </w:tc>
      </w:tr>
      <w:tr>
        <w:trPr>
          <w:trHeight w:val="542" w:hRule="atLeast"/>
        </w:trPr>
        <w:tc>
          <w:tcPr>
            <w:tcW w:w="5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sz w:val="18"/>
                <w:szCs w:val="18"/>
              </w:rPr>
            </w:pPr>
            <w:r>
              <w:rPr>
                <w:rFonts w:cs="Arial" w:ascii="Calibri" w:hAnsi="Calibri"/>
                <w:sz w:val="18"/>
                <w:szCs w:val="18"/>
              </w:rPr>
              <w:t>C</w:t>
            </w:r>
          </w:p>
        </w:tc>
        <w:tc>
          <w:tcPr>
            <w:tcW w:w="20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asciiTheme="minorHAnsi" w:hAnsiTheme="minorHAnsi"/>
                <w:sz w:val="18"/>
                <w:szCs w:val="18"/>
              </w:rPr>
            </w:pPr>
            <w:r>
              <w:rPr>
                <w:rFonts w:cs="Arial" w:ascii="Calibri" w:hAnsi="Calibri" w:asciiTheme="minorHAnsi" w:hAnsiTheme="minorHAnsi"/>
                <w:color w:val="000000"/>
                <w:sz w:val="18"/>
                <w:szCs w:val="18"/>
                <w:shd w:fill="FFFFFF" w:val="clear"/>
              </w:rPr>
              <w:t>Substituto na cobertura de Licença-Paternidade</w:t>
            </w:r>
          </w:p>
        </w:tc>
        <w:tc>
          <w:tcPr>
            <w:tcW w:w="3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sz w:val="18"/>
                <w:szCs w:val="18"/>
                <w:lang w:val="en-US"/>
              </w:rPr>
            </w:pPr>
            <w:r>
              <w:rPr>
                <w:rFonts w:cs="Arial" w:ascii="Calibri" w:hAnsi="Calibri"/>
                <w:sz w:val="18"/>
                <w:szCs w:val="18"/>
                <w:lang w:val="en-US"/>
              </w:rPr>
              <w:t>LP= nDR(LP) x % LP x CDR/12</w:t>
            </w:r>
          </w:p>
        </w:tc>
        <w:tc>
          <w:tcPr>
            <w:tcW w:w="42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eastAsia="Calibri" w:cs="Arial" w:eastAsiaTheme="minorHAnsi"/>
                <w:sz w:val="18"/>
                <w:szCs w:val="18"/>
                <w:lang w:eastAsia="en-US"/>
              </w:rPr>
            </w:pPr>
            <w:r>
              <w:rPr>
                <w:rFonts w:eastAsia="Calibri" w:cs="Arial" w:ascii="Calibri" w:hAnsi="Calibri" w:eastAsiaTheme="minorHAnsi"/>
                <w:sz w:val="18"/>
                <w:szCs w:val="18"/>
                <w:lang w:eastAsia="en-US"/>
              </w:rPr>
              <w:t>Art. 7º, XIX, CF/88 e</w:t>
            </w:r>
          </w:p>
          <w:p>
            <w:pPr>
              <w:pStyle w:val="Normal"/>
              <w:rPr>
                <w:rFonts w:ascii="Calibri" w:hAnsi="Calibri" w:eastAsia="Calibri" w:cs="Arial" w:eastAsiaTheme="minorHAnsi"/>
                <w:sz w:val="18"/>
                <w:szCs w:val="18"/>
                <w:lang w:eastAsia="en-US"/>
              </w:rPr>
            </w:pPr>
            <w:r>
              <w:rPr>
                <w:rFonts w:eastAsia="Calibri" w:cs="Arial" w:ascii="Calibri" w:hAnsi="Calibri" w:eastAsiaTheme="minorHAnsi"/>
                <w:sz w:val="18"/>
                <w:szCs w:val="18"/>
                <w:lang w:eastAsia="en-US"/>
              </w:rPr>
              <w:t>10, § 1º, da CLT.</w:t>
            </w:r>
          </w:p>
          <w:p>
            <w:pPr>
              <w:pStyle w:val="Normal"/>
              <w:rPr>
                <w:rFonts w:ascii="Calibri" w:hAnsi="Calibri" w:cs="Arial"/>
                <w:sz w:val="18"/>
                <w:szCs w:val="18"/>
              </w:rPr>
            </w:pPr>
            <w:r>
              <w:rPr>
                <w:rFonts w:cs="Arial" w:ascii="Calibri" w:hAnsi="Calibri"/>
                <w:sz w:val="18"/>
                <w:szCs w:val="18"/>
              </w:rPr>
              <w:t xml:space="preserve">Manual de Preenchimento de Planilhas do MPOG 2011 (pg 27): </w:t>
            </w:r>
            <w:r>
              <w:rPr>
                <w:rFonts w:cs="Arial" w:ascii="Calibri" w:hAnsi="Calibri"/>
                <w:b/>
                <w:sz w:val="18"/>
                <w:szCs w:val="18"/>
              </w:rPr>
              <w:t>1,5%</w:t>
            </w:r>
            <w:r>
              <w:rPr>
                <w:rFonts w:cs="Arial" w:ascii="Calibri" w:hAnsi="Calibri"/>
                <w:sz w:val="18"/>
                <w:szCs w:val="18"/>
              </w:rPr>
              <w:t xml:space="preserve"> dos trabalhadores tem filhos. Sendo </w:t>
            </w:r>
            <w:r>
              <w:rPr>
                <w:rFonts w:cs="Arial" w:ascii="Calibri" w:hAnsi="Calibri"/>
                <w:b/>
                <w:sz w:val="18"/>
                <w:szCs w:val="18"/>
              </w:rPr>
              <w:t>5 dias (nº de dias corridos de licença).</w:t>
            </w:r>
          </w:p>
        </w:tc>
      </w:tr>
      <w:tr>
        <w:trPr>
          <w:trHeight w:val="422" w:hRule="atLeast"/>
        </w:trPr>
        <w:tc>
          <w:tcPr>
            <w:tcW w:w="5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sz w:val="18"/>
                <w:szCs w:val="18"/>
              </w:rPr>
            </w:pPr>
            <w:r>
              <w:rPr>
                <w:rFonts w:cs="Arial" w:ascii="Calibri" w:hAnsi="Calibri"/>
                <w:sz w:val="18"/>
                <w:szCs w:val="18"/>
              </w:rPr>
              <w:t>D</w:t>
            </w:r>
          </w:p>
        </w:tc>
        <w:tc>
          <w:tcPr>
            <w:tcW w:w="20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asciiTheme="minorHAnsi" w:hAnsiTheme="minorHAnsi"/>
                <w:sz w:val="18"/>
                <w:szCs w:val="18"/>
              </w:rPr>
            </w:pPr>
            <w:r>
              <w:rPr>
                <w:rFonts w:cs="Arial" w:ascii="Calibri" w:hAnsi="Calibri" w:asciiTheme="minorHAnsi" w:hAnsiTheme="minorHAnsi"/>
                <w:color w:val="000000"/>
                <w:sz w:val="18"/>
                <w:szCs w:val="18"/>
                <w:shd w:fill="FFFFFF" w:val="clear"/>
              </w:rPr>
              <w:t>Substituto na cobertura de Ausência por acidente de trabalho</w:t>
            </w:r>
          </w:p>
        </w:tc>
        <w:tc>
          <w:tcPr>
            <w:tcW w:w="3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sz w:val="18"/>
                <w:szCs w:val="18"/>
                <w:lang w:val="en-US"/>
              </w:rPr>
            </w:pPr>
            <w:r>
              <w:rPr>
                <w:rFonts w:cs="Arial" w:ascii="Calibri" w:hAnsi="Calibri"/>
                <w:sz w:val="18"/>
                <w:szCs w:val="18"/>
                <w:lang w:val="en-US"/>
              </w:rPr>
              <w:t>AT= nDR(AT) x % AT x CDR/12</w:t>
            </w:r>
          </w:p>
        </w:tc>
        <w:tc>
          <w:tcPr>
            <w:tcW w:w="42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eastAsia="Calibri" w:cs="Arial" w:eastAsiaTheme="minorHAnsi"/>
                <w:sz w:val="18"/>
                <w:szCs w:val="18"/>
                <w:lang w:eastAsia="en-US"/>
              </w:rPr>
            </w:pPr>
            <w:r>
              <w:rPr>
                <w:rFonts w:eastAsia="Calibri" w:cs="Arial" w:ascii="Calibri" w:hAnsi="Calibri" w:eastAsiaTheme="minorHAnsi"/>
                <w:sz w:val="18"/>
                <w:szCs w:val="18"/>
                <w:lang w:eastAsia="en-US"/>
              </w:rPr>
              <w:t>Arts. 19 a 23 c/c § 2º, Art. 43 da Lei 8.213/91.</w:t>
            </w:r>
          </w:p>
          <w:p>
            <w:pPr>
              <w:pStyle w:val="Normal"/>
              <w:rPr>
                <w:rFonts w:ascii="Calibri" w:hAnsi="Calibri" w:cs="Arial"/>
                <w:b/>
                <w:b/>
                <w:sz w:val="18"/>
                <w:szCs w:val="18"/>
              </w:rPr>
            </w:pPr>
            <w:r>
              <w:rPr>
                <w:rFonts w:cs="Arial" w:ascii="Calibri" w:hAnsi="Calibri"/>
                <w:sz w:val="18"/>
                <w:szCs w:val="18"/>
              </w:rPr>
              <w:t xml:space="preserve">Manual de Preenchimento de Planilhas do MPOG 2011 (pg 28): </w:t>
            </w:r>
            <w:r>
              <w:rPr>
                <w:rFonts w:cs="Arial" w:ascii="Calibri" w:hAnsi="Calibri"/>
                <w:b/>
                <w:sz w:val="18"/>
                <w:szCs w:val="18"/>
              </w:rPr>
              <w:t>0,78%</w:t>
            </w:r>
            <w:r>
              <w:rPr>
                <w:rFonts w:cs="Arial" w:ascii="Calibri" w:hAnsi="Calibri"/>
                <w:sz w:val="18"/>
                <w:szCs w:val="18"/>
              </w:rPr>
              <w:t xml:space="preserve"> dos empregados se acidentam</w:t>
            </w:r>
            <w:r>
              <w:rPr>
                <w:rFonts w:cs="Arial" w:ascii="Calibri" w:hAnsi="Calibri"/>
                <w:b/>
                <w:sz w:val="18"/>
                <w:szCs w:val="18"/>
              </w:rPr>
              <w:t xml:space="preserve">; </w:t>
            </w:r>
          </w:p>
          <w:p>
            <w:pPr>
              <w:pStyle w:val="Normal"/>
              <w:rPr>
                <w:rFonts w:ascii="Calibri" w:hAnsi="Calibri" w:cs="Arial"/>
                <w:sz w:val="18"/>
                <w:szCs w:val="18"/>
              </w:rPr>
            </w:pPr>
            <w:r>
              <w:rPr>
                <w:rFonts w:cs="Arial" w:ascii="Calibri" w:hAnsi="Calibri"/>
                <w:sz w:val="18"/>
                <w:szCs w:val="18"/>
              </w:rPr>
              <w:t xml:space="preserve">Sendo </w:t>
            </w:r>
            <w:r>
              <w:rPr>
                <w:rFonts w:cs="Arial" w:ascii="Calibri" w:hAnsi="Calibri"/>
                <w:b/>
                <w:sz w:val="18"/>
                <w:szCs w:val="18"/>
              </w:rPr>
              <w:t>15 dias (nº de dias corridos de licença pagos pelo empregador).</w:t>
            </w:r>
          </w:p>
          <w:p>
            <w:pPr>
              <w:pStyle w:val="Normal"/>
              <w:rPr>
                <w:rFonts w:ascii="Calibri" w:hAnsi="Calibri" w:cs="Arial"/>
                <w:sz w:val="18"/>
                <w:szCs w:val="18"/>
              </w:rPr>
            </w:pPr>
            <w:r>
              <w:rPr>
                <w:rFonts w:cs="Arial" w:ascii="Calibri" w:hAnsi="Calibri"/>
                <w:sz w:val="18"/>
                <w:szCs w:val="18"/>
              </w:rPr>
            </w:r>
          </w:p>
        </w:tc>
      </w:tr>
      <w:tr>
        <w:trPr>
          <w:trHeight w:val="416" w:hRule="atLeast"/>
        </w:trPr>
        <w:tc>
          <w:tcPr>
            <w:tcW w:w="5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sz w:val="18"/>
                <w:szCs w:val="18"/>
              </w:rPr>
            </w:pPr>
            <w:r>
              <w:rPr>
                <w:rFonts w:cs="Arial" w:ascii="Calibri" w:hAnsi="Calibri"/>
                <w:sz w:val="18"/>
                <w:szCs w:val="18"/>
              </w:rPr>
              <w:t>E</w:t>
            </w:r>
          </w:p>
        </w:tc>
        <w:tc>
          <w:tcPr>
            <w:tcW w:w="20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asciiTheme="minorHAnsi" w:hAnsiTheme="minorHAnsi"/>
                <w:sz w:val="18"/>
                <w:szCs w:val="18"/>
              </w:rPr>
            </w:pPr>
            <w:r>
              <w:rPr>
                <w:rFonts w:cs="Arial" w:ascii="Calibri" w:hAnsi="Calibri" w:asciiTheme="minorHAnsi" w:hAnsiTheme="minorHAnsi"/>
                <w:sz w:val="18"/>
                <w:szCs w:val="18"/>
                <w:shd w:fill="FFFFFF" w:val="clear"/>
              </w:rPr>
              <w:t>Substituto na cobertura de Afastamento Maternidade</w:t>
            </w:r>
            <w:r>
              <w:rPr>
                <w:rFonts w:cs="Arial" w:ascii="Calibri" w:hAnsi="Calibri" w:asciiTheme="minorHAnsi" w:hAnsiTheme="minorHAnsi"/>
                <w:sz w:val="18"/>
                <w:szCs w:val="18"/>
              </w:rPr>
              <w:t xml:space="preserve"> </w:t>
            </w:r>
          </w:p>
        </w:tc>
        <w:tc>
          <w:tcPr>
            <w:tcW w:w="3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ind w:left="-70" w:hanging="0"/>
              <w:jc w:val="both"/>
              <w:rPr>
                <w:rFonts w:ascii="Calibri" w:hAnsi="Calibri" w:eastAsia="Calibri" w:cs="Arial" w:asciiTheme="minorHAnsi" w:eastAsiaTheme="minorHAnsi" w:hAnsiTheme="minorHAnsi"/>
                <w:sz w:val="16"/>
                <w:szCs w:val="16"/>
                <w:lang w:val="en-US" w:eastAsia="en-US"/>
              </w:rPr>
            </w:pPr>
            <w:r>
              <w:rPr>
                <w:rFonts w:eastAsia="Calibri" w:cs="Arial" w:ascii="Calibri" w:hAnsi="Calibri" w:asciiTheme="minorHAnsi" w:eastAsiaTheme="minorHAnsi" w:hAnsiTheme="minorHAnsi"/>
                <w:sz w:val="18"/>
                <w:szCs w:val="18"/>
                <w:lang w:val="en-US" w:eastAsia="en-US"/>
              </w:rPr>
              <w:t xml:space="preserve">(*) </w:t>
            </w:r>
            <w:r>
              <w:rPr>
                <w:rFonts w:eastAsia="Calibri" w:cs="Arial" w:ascii="Calibri" w:hAnsi="Calibri" w:asciiTheme="minorHAnsi" w:eastAsiaTheme="minorHAnsi" w:hAnsiTheme="minorHAnsi"/>
                <w:sz w:val="16"/>
                <w:szCs w:val="16"/>
                <w:lang w:val="en-US" w:eastAsia="en-US"/>
              </w:rPr>
              <w:t>AMT: FPAM + (BMDND x 3,95 x  % a.a AM) : 12 + IAM</w:t>
            </w:r>
          </w:p>
          <w:p>
            <w:pPr>
              <w:pStyle w:val="Normal"/>
              <w:jc w:val="center"/>
              <w:rPr>
                <w:rFonts w:ascii="Calibri" w:hAnsi="Calibri" w:eastAsia="Calibri" w:cs="Arial" w:asciiTheme="minorHAnsi" w:eastAsiaTheme="minorHAnsi" w:hAnsiTheme="minorHAnsi"/>
                <w:sz w:val="18"/>
                <w:szCs w:val="18"/>
                <w:lang w:val="en-US" w:eastAsia="en-US"/>
              </w:rPr>
            </w:pPr>
            <w:r>
              <w:rPr>
                <w:rFonts w:eastAsia="Calibri" w:cs="Arial" w:eastAsiaTheme="minorHAnsi" w:ascii="Calibri" w:hAnsi="Calibri"/>
                <w:sz w:val="18"/>
                <w:szCs w:val="18"/>
                <w:lang w:val="en-US" w:eastAsia="en-US"/>
              </w:rPr>
            </w:r>
          </w:p>
        </w:tc>
        <w:tc>
          <w:tcPr>
            <w:tcW w:w="42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Style w:val="Nfase"/>
                <w:rFonts w:ascii="Calibri" w:hAnsi="Calibri" w:asciiTheme="minorHAnsi" w:hAnsiTheme="minorHAnsi"/>
                <w:i w:val="false"/>
                <w:i w:val="false"/>
                <w:sz w:val="18"/>
                <w:szCs w:val="18"/>
                <w:highlight w:val="white"/>
              </w:rPr>
            </w:pPr>
            <w:r>
              <w:rPr>
                <w:rStyle w:val="Nfase"/>
                <w:rFonts w:ascii="Calibri" w:hAnsi="Calibri" w:asciiTheme="minorHAnsi" w:hAnsiTheme="minorHAnsi"/>
                <w:i w:val="false"/>
                <w:sz w:val="18"/>
                <w:szCs w:val="18"/>
                <w:shd w:fill="FFFFFF" w:val="clear"/>
              </w:rPr>
              <w:t>Art. 6º e 201 da CF, art. 392 da CLT.</w:t>
            </w:r>
          </w:p>
          <w:p>
            <w:pPr>
              <w:pStyle w:val="Normal"/>
              <w:rPr/>
            </w:pPr>
            <w:r>
              <w:rPr>
                <w:rFonts w:cs="Arial" w:ascii="Calibri" w:hAnsi="Calibri"/>
                <w:b/>
                <w:sz w:val="18"/>
                <w:szCs w:val="18"/>
              </w:rPr>
              <w:t xml:space="preserve">Considerando os dados do IBGE 2020, a taxa de fecundidade no estado do Pará é de 1,89% </w:t>
            </w:r>
            <w:hyperlink r:id="rId5">
              <w:r>
                <w:rPr>
                  <w:rStyle w:val="LinkdaInternet"/>
                </w:rPr>
                <w:t>https://www.ibge.gov.br/apps/populacao/projecao/</w:t>
              </w:r>
            </w:hyperlink>
            <w:r>
              <w:rPr/>
              <w:t>. Acesso em 22/02/2020)</w:t>
            </w:r>
            <w:r>
              <w:rPr>
                <w:rFonts w:cs="Arial" w:ascii="Calibri" w:hAnsi="Calibri"/>
                <w:b/>
                <w:sz w:val="18"/>
                <w:szCs w:val="18"/>
              </w:rPr>
              <w:t xml:space="preserve">; </w:t>
            </w:r>
          </w:p>
          <w:p>
            <w:pPr>
              <w:pStyle w:val="Normal"/>
              <w:rPr>
                <w:rFonts w:ascii="Calibri" w:hAnsi="Calibri" w:eastAsia="Calibri" w:cs="Arial" w:asciiTheme="minorHAnsi" w:eastAsiaTheme="minorHAnsi" w:hAnsiTheme="minorHAnsi"/>
                <w:i/>
                <w:i/>
                <w:sz w:val="18"/>
                <w:szCs w:val="18"/>
                <w:lang w:eastAsia="en-US"/>
              </w:rPr>
            </w:pPr>
            <w:r>
              <w:rPr>
                <w:rFonts w:cs="Arial" w:ascii="Calibri" w:hAnsi="Calibri"/>
                <w:sz w:val="18"/>
                <w:szCs w:val="18"/>
              </w:rPr>
              <w:t>Considerando dados de contratos anteriores com tipo de serviço assemelhado, temos que aproximadamente 5% de mulheres do número total de trabalhadores. Sendo assim, a percentagem de afastamento maternidade é de 5</w:t>
            </w:r>
            <w:r>
              <w:rPr>
                <w:rFonts w:cs="Arial" w:ascii="Calibri" w:hAnsi="Calibri"/>
                <w:b/>
                <w:sz w:val="18"/>
                <w:szCs w:val="18"/>
              </w:rPr>
              <w:t>% x 1,73%</w:t>
            </w:r>
            <w:r>
              <w:rPr>
                <w:rFonts w:cs="Arial" w:ascii="Calibri" w:hAnsi="Calibri"/>
                <w:sz w:val="18"/>
                <w:szCs w:val="18"/>
              </w:rPr>
              <w:t xml:space="preserve"> = 0,09</w:t>
            </w:r>
            <w:r>
              <w:rPr>
                <w:rFonts w:cs="Arial" w:ascii="Calibri" w:hAnsi="Calibri"/>
                <w:b/>
                <w:sz w:val="18"/>
                <w:szCs w:val="18"/>
              </w:rPr>
              <w:t>%</w:t>
            </w:r>
          </w:p>
        </w:tc>
      </w:tr>
      <w:tr>
        <w:trPr>
          <w:trHeight w:val="416" w:hRule="atLeast"/>
        </w:trPr>
        <w:tc>
          <w:tcPr>
            <w:tcW w:w="5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sz w:val="18"/>
                <w:szCs w:val="18"/>
              </w:rPr>
            </w:pPr>
            <w:r>
              <w:rPr>
                <w:rFonts w:cs="Arial" w:ascii="Calibri" w:hAnsi="Calibri"/>
                <w:sz w:val="18"/>
                <w:szCs w:val="18"/>
              </w:rPr>
              <w:t>F</w:t>
            </w:r>
          </w:p>
        </w:tc>
        <w:tc>
          <w:tcPr>
            <w:tcW w:w="20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asciiTheme="minorHAnsi" w:hAnsiTheme="minorHAnsi"/>
                <w:sz w:val="18"/>
                <w:szCs w:val="18"/>
              </w:rPr>
            </w:pPr>
            <w:r>
              <w:rPr>
                <w:rFonts w:cs="Arial" w:ascii="Calibri" w:hAnsi="Calibri" w:asciiTheme="minorHAnsi" w:hAnsiTheme="minorHAnsi"/>
                <w:color w:val="000000"/>
                <w:sz w:val="18"/>
                <w:szCs w:val="18"/>
                <w:shd w:fill="FFFFFF" w:val="clear"/>
              </w:rPr>
              <w:t>Substituto na cobertura de Outras ausências (especificar)</w:t>
            </w:r>
          </w:p>
        </w:tc>
        <w:tc>
          <w:tcPr>
            <w:tcW w:w="3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sz w:val="18"/>
                <w:szCs w:val="18"/>
              </w:rPr>
            </w:pPr>
            <w:r>
              <w:rPr>
                <w:rFonts w:cs="Arial" w:ascii="Calibri" w:hAnsi="Calibri"/>
                <w:sz w:val="18"/>
                <w:szCs w:val="18"/>
              </w:rPr>
            </w:r>
          </w:p>
        </w:tc>
        <w:tc>
          <w:tcPr>
            <w:tcW w:w="42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sz w:val="18"/>
                <w:szCs w:val="18"/>
              </w:rPr>
            </w:pPr>
            <w:r>
              <w:rPr>
                <w:rFonts w:eastAsia="Calibri" w:cs="Arial" w:ascii="Calibri" w:hAnsi="Calibri" w:eastAsiaTheme="minorHAnsi"/>
                <w:sz w:val="18"/>
                <w:szCs w:val="18"/>
                <w:lang w:eastAsia="en-US"/>
              </w:rPr>
              <w:t>-</w:t>
            </w:r>
          </w:p>
        </w:tc>
      </w:tr>
      <w:tr>
        <w:trPr>
          <w:trHeight w:val="420" w:hRule="atLeast"/>
        </w:trPr>
        <w:tc>
          <w:tcPr>
            <w:tcW w:w="543" w:type="dxa"/>
            <w:tcBorders>
              <w:top w:val="single" w:sz="4" w:space="0" w:color="000000"/>
              <w:left w:val="single" w:sz="4" w:space="0" w:color="000000"/>
              <w:bottom w:val="single" w:sz="4" w:space="0" w:color="000000"/>
            </w:tcBorders>
            <w:shd w:color="auto" w:fill="EAF1DD" w:themeFill="accent3" w:themeFillTint="33" w:val="clear"/>
            <w:vAlign w:val="center"/>
          </w:tcPr>
          <w:p>
            <w:pPr>
              <w:pStyle w:val="Normal"/>
              <w:jc w:val="center"/>
              <w:rPr>
                <w:rFonts w:ascii="Calibri" w:hAnsi="Calibri" w:cs="Arial"/>
                <w:sz w:val="18"/>
                <w:szCs w:val="18"/>
                <w:lang w:val="en-US"/>
              </w:rPr>
            </w:pPr>
            <w:r>
              <w:rPr>
                <w:rFonts w:cs="Arial" w:ascii="Calibri" w:hAnsi="Calibri"/>
                <w:sz w:val="18"/>
                <w:szCs w:val="18"/>
                <w:lang w:val="en-US"/>
              </w:rPr>
            </w:r>
          </w:p>
        </w:tc>
        <w:tc>
          <w:tcPr>
            <w:tcW w:w="2031" w:type="dxa"/>
            <w:tcBorders>
              <w:top w:val="single" w:sz="4" w:space="0" w:color="000000"/>
              <w:bottom w:val="single" w:sz="4" w:space="0" w:color="000000"/>
              <w:right w:val="single" w:sz="4" w:space="0" w:color="000000"/>
            </w:tcBorders>
            <w:shd w:color="auto" w:fill="EAF1DD" w:themeFill="accent3" w:themeFillTint="33" w:val="clear"/>
            <w:vAlign w:val="center"/>
          </w:tcPr>
          <w:p>
            <w:pPr>
              <w:pStyle w:val="Normal"/>
              <w:rPr>
                <w:rFonts w:ascii="Calibri" w:hAnsi="Calibri" w:cs="Arial"/>
                <w:sz w:val="18"/>
                <w:szCs w:val="18"/>
              </w:rPr>
            </w:pPr>
            <w:r>
              <w:rPr>
                <w:rFonts w:cs="Arial" w:ascii="Calibri" w:hAnsi="Calibri"/>
                <w:sz w:val="18"/>
                <w:szCs w:val="18"/>
              </w:rPr>
              <w:t>Total</w:t>
            </w:r>
          </w:p>
        </w:tc>
        <w:tc>
          <w:tcPr>
            <w:tcW w:w="3522"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rPr>
                <w:rFonts w:ascii="Calibri" w:hAnsi="Calibri" w:cs="Arial"/>
                <w:sz w:val="18"/>
                <w:szCs w:val="18"/>
              </w:rPr>
            </w:pPr>
            <w:r>
              <w:rPr>
                <w:rFonts w:cs="Arial" w:ascii="Calibri" w:hAnsi="Calibri"/>
                <w:sz w:val="18"/>
                <w:szCs w:val="18"/>
              </w:rPr>
            </w:r>
          </w:p>
        </w:tc>
        <w:tc>
          <w:tcPr>
            <w:tcW w:w="4241"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rPr>
                <w:rFonts w:ascii="Calibri" w:hAnsi="Calibri" w:eastAsia="Calibri" w:cs="Arial" w:eastAsiaTheme="minorHAnsi"/>
                <w:sz w:val="18"/>
                <w:szCs w:val="18"/>
                <w:lang w:eastAsia="en-US"/>
              </w:rPr>
            </w:pPr>
            <w:r>
              <w:rPr>
                <w:rFonts w:eastAsia="Calibri" w:cs="Arial" w:eastAsiaTheme="minorHAnsi" w:ascii="Calibri" w:hAnsi="Calibri"/>
                <w:sz w:val="18"/>
                <w:szCs w:val="18"/>
                <w:lang w:eastAsia="en-US"/>
              </w:rPr>
            </w:r>
          </w:p>
        </w:tc>
      </w:tr>
    </w:tbl>
    <w:p>
      <w:pPr>
        <w:pStyle w:val="Normal"/>
        <w:ind w:left="426" w:hanging="0"/>
        <w:jc w:val="both"/>
        <w:rPr>
          <w:rStyle w:val="Strong"/>
          <w:rFonts w:ascii="Calibri" w:hAnsi="Calibri" w:cs="Arial" w:asciiTheme="minorHAnsi" w:hAnsiTheme="minorHAnsi"/>
          <w:color w:val="000000"/>
          <w:sz w:val="16"/>
          <w:szCs w:val="16"/>
          <w:highlight w:val="white"/>
        </w:rPr>
      </w:pPr>
      <w:r>
        <w:rPr>
          <w:rFonts w:cs="Arial" w:ascii="Calibri" w:hAnsi="Calibri"/>
          <w:color w:val="000000"/>
          <w:sz w:val="16"/>
          <w:szCs w:val="16"/>
          <w:highlight w:val="white"/>
        </w:rPr>
      </w:r>
    </w:p>
    <w:p>
      <w:pPr>
        <w:pStyle w:val="Normal"/>
        <w:ind w:left="426" w:hanging="0"/>
        <w:jc w:val="both"/>
        <w:rPr>
          <w:rFonts w:ascii="Calibri" w:hAnsi="Calibri" w:cs="Arial" w:asciiTheme="minorHAnsi" w:hAnsiTheme="minorHAnsi"/>
          <w:color w:val="000000"/>
          <w:sz w:val="16"/>
          <w:szCs w:val="16"/>
          <w:highlight w:val="white"/>
        </w:rPr>
      </w:pPr>
      <w:r>
        <w:rPr>
          <w:rStyle w:val="Strong"/>
          <w:rFonts w:cs="Arial" w:ascii="Calibri" w:hAnsi="Calibri" w:asciiTheme="minorHAnsi" w:hAnsiTheme="minorHAnsi"/>
          <w:color w:val="000000"/>
          <w:sz w:val="16"/>
          <w:szCs w:val="16"/>
          <w:shd w:fill="FFFFFF" w:val="clear"/>
        </w:rPr>
        <w:t>Nota 1: </w:t>
      </w:r>
      <w:r>
        <w:rPr>
          <w:rFonts w:cs="Arial" w:ascii="Calibri" w:hAnsi="Calibri" w:asciiTheme="minorHAnsi" w:hAnsiTheme="minorHAnsi"/>
          <w:color w:val="000000"/>
          <w:sz w:val="16"/>
          <w:szCs w:val="16"/>
          <w:shd w:fill="FFFFFF" w:val="clear"/>
        </w:rPr>
        <w:t>Os itens que contemplam o módulo 4 se referem ao custo dos dias trabalhados pelo repositor/substituto, quando o empregado alocado na prestação de serviço estiver ausente, conforme as previsões estabelecidas na legislação.</w:t>
      </w:r>
    </w:p>
    <w:p>
      <w:pPr>
        <w:pStyle w:val="Normal"/>
        <w:ind w:left="426" w:hanging="0"/>
        <w:jc w:val="both"/>
        <w:rPr>
          <w:rFonts w:ascii="Calibri" w:hAnsi="Calibri" w:eastAsia="Calibri" w:cs="Arial" w:asciiTheme="minorHAnsi" w:eastAsiaTheme="minorHAnsi" w:hAnsiTheme="minorHAnsi"/>
          <w:sz w:val="16"/>
          <w:szCs w:val="16"/>
          <w:lang w:eastAsia="en-US"/>
        </w:rPr>
      </w:pPr>
      <w:r>
        <w:rPr>
          <w:rFonts w:eastAsia="Calibri" w:cs="Arial" w:eastAsiaTheme="minorHAnsi" w:ascii="Calibri" w:hAnsi="Calibri"/>
          <w:sz w:val="16"/>
          <w:szCs w:val="16"/>
          <w:lang w:eastAsia="en-US"/>
        </w:rPr>
      </w:r>
    </w:p>
    <w:p>
      <w:pPr>
        <w:pStyle w:val="Normal"/>
        <w:ind w:left="426" w:hanging="0"/>
        <w:jc w:val="both"/>
        <w:rPr>
          <w:rFonts w:ascii="Calibri" w:hAnsi="Calibri" w:eastAsia="Calibri" w:cs="Arial" w:asciiTheme="minorHAnsi" w:eastAsiaTheme="minorHAnsi" w:hAnsiTheme="minorHAnsi"/>
          <w:b/>
          <w:b/>
          <w:sz w:val="16"/>
          <w:szCs w:val="16"/>
          <w:u w:val="single"/>
          <w:lang w:eastAsia="en-US"/>
        </w:rPr>
      </w:pPr>
      <w:r>
        <w:rPr>
          <w:rFonts w:eastAsia="Calibri" w:cs="Arial" w:ascii="Calibri" w:hAnsi="Calibri" w:asciiTheme="minorHAnsi" w:eastAsiaTheme="minorHAnsi" w:hAnsiTheme="minorHAnsi"/>
          <w:b/>
          <w:sz w:val="16"/>
          <w:szCs w:val="16"/>
          <w:u w:val="single"/>
          <w:lang w:eastAsia="en-US"/>
        </w:rPr>
        <w:t>OBSERVAÇÕES:</w:t>
      </w:r>
    </w:p>
    <w:p>
      <w:pPr>
        <w:pStyle w:val="Normal"/>
        <w:ind w:left="426" w:hanging="0"/>
        <w:jc w:val="both"/>
        <w:rPr>
          <w:rFonts w:ascii="Calibri" w:hAnsi="Calibri" w:eastAsia="Calibri" w:cs="Arial" w:asciiTheme="minorHAnsi" w:eastAsiaTheme="minorHAnsi" w:hAnsiTheme="minorHAnsi"/>
          <w:b/>
          <w:b/>
          <w:sz w:val="16"/>
          <w:szCs w:val="16"/>
          <w:u w:val="single"/>
          <w:lang w:eastAsia="en-US"/>
        </w:rPr>
      </w:pPr>
      <w:r>
        <w:rPr>
          <w:rFonts w:eastAsia="Calibri" w:cs="Arial" w:eastAsiaTheme="minorHAnsi" w:ascii="Calibri" w:hAnsi="Calibri"/>
          <w:b/>
          <w:sz w:val="16"/>
          <w:szCs w:val="16"/>
          <w:u w:val="single"/>
          <w:lang w:eastAsia="en-US"/>
        </w:rPr>
      </w:r>
    </w:p>
    <w:p>
      <w:pPr>
        <w:pStyle w:val="ListParagraph"/>
        <w:numPr>
          <w:ilvl w:val="0"/>
          <w:numId w:val="1"/>
        </w:numPr>
        <w:jc w:val="both"/>
        <w:rPr>
          <w:rFonts w:ascii="Calibri" w:hAnsi="Calibri" w:eastAsia="Calibri" w:cs="Arial" w:asciiTheme="minorHAnsi" w:eastAsiaTheme="minorHAnsi" w:hAnsiTheme="minorHAnsi"/>
          <w:sz w:val="16"/>
          <w:szCs w:val="16"/>
          <w:lang w:eastAsia="en-US"/>
        </w:rPr>
      </w:pPr>
      <w:r>
        <w:rPr>
          <w:rFonts w:eastAsia="Calibri" w:cs="Arial" w:ascii="Calibri" w:hAnsi="Calibri" w:asciiTheme="minorHAnsi" w:eastAsiaTheme="minorHAnsi" w:hAnsiTheme="minorHAnsi"/>
          <w:sz w:val="16"/>
          <w:szCs w:val="16"/>
          <w:lang w:eastAsia="en-US"/>
        </w:rPr>
        <w:t>Para o cálculo do custo de reposição do profissional ausente deve-se em primeiro lugar determinar o custo diário daquele que vai fazer a reposição – CDR, que é obtido:</w:t>
      </w:r>
    </w:p>
    <w:p>
      <w:pPr>
        <w:pStyle w:val="ListParagraph"/>
        <w:ind w:left="786" w:hanging="0"/>
        <w:jc w:val="both"/>
        <w:rPr>
          <w:rFonts w:ascii="Calibri" w:hAnsi="Calibri" w:eastAsia="Calibri" w:cs="Arial" w:asciiTheme="minorHAnsi" w:eastAsiaTheme="minorHAnsi" w:hAnsiTheme="minorHAnsi"/>
          <w:sz w:val="16"/>
          <w:szCs w:val="16"/>
          <w:lang w:eastAsia="en-US"/>
        </w:rPr>
      </w:pPr>
      <w:r>
        <w:rPr>
          <w:rFonts w:eastAsia="Calibri" w:cs="Arial" w:eastAsiaTheme="minorHAnsi" w:ascii="Calibri" w:hAnsi="Calibri"/>
          <w:sz w:val="16"/>
          <w:szCs w:val="16"/>
          <w:lang w:eastAsia="en-US"/>
        </w:rPr>
      </w:r>
    </w:p>
    <w:p>
      <w:pPr>
        <w:pStyle w:val="ListParagraph"/>
        <w:ind w:left="786" w:hanging="0"/>
        <w:jc w:val="center"/>
        <w:rPr>
          <w:rFonts w:ascii="Calibri" w:hAnsi="Calibri" w:eastAsia="Calibri" w:cs="Arial" w:asciiTheme="minorHAnsi" w:eastAsiaTheme="minorHAnsi" w:hAnsiTheme="minorHAnsi"/>
          <w:sz w:val="16"/>
          <w:szCs w:val="16"/>
          <w:lang w:eastAsia="en-US"/>
        </w:rPr>
      </w:pPr>
      <w:r>
        <w:rPr>
          <w:rFonts w:eastAsia="Calibri" w:cs="Arial" w:ascii="Calibri" w:hAnsi="Calibri" w:asciiTheme="minorHAnsi" w:eastAsiaTheme="minorHAnsi" w:hAnsiTheme="minorHAnsi"/>
          <w:sz w:val="16"/>
          <w:szCs w:val="16"/>
          <w:lang w:eastAsia="en-US"/>
        </w:rPr>
        <w:t xml:space="preserve">                           </w:t>
      </w:r>
      <w:r>
        <w:rPr>
          <w:rFonts w:eastAsia="Calibri" w:cs="Arial" w:ascii="Calibri" w:hAnsi="Calibri" w:asciiTheme="minorHAnsi" w:eastAsiaTheme="minorHAnsi" w:hAnsiTheme="minorHAnsi"/>
          <w:sz w:val="16"/>
          <w:szCs w:val="16"/>
          <w:lang w:eastAsia="en-US"/>
        </w:rPr>
        <w:t xml:space="preserve">Custo mensal do repositor </w:t>
      </w:r>
      <w:r>
        <w:rPr>
          <w:rFonts w:eastAsia="Calibri" w:cs="Arial" w:ascii="Calibri" w:hAnsi="Calibri" w:asciiTheme="minorHAnsi" w:eastAsiaTheme="minorHAnsi" w:hAnsiTheme="minorHAnsi"/>
          <w:sz w:val="10"/>
          <w:szCs w:val="10"/>
          <w:lang w:eastAsia="en-US"/>
        </w:rPr>
        <w:t>(mód. 1 + mód. 2 + mod. 3 + maternidade + mód. 5 – (transp. – aliment. – equip.  – materiais)</w:t>
      </w:r>
    </w:p>
    <w:p>
      <w:pPr>
        <w:pStyle w:val="Normal"/>
        <w:rPr/>
      </w:pPr>
      <w:r>
        <w:rPr>
          <w:rFonts w:eastAsia="Calibri" w:cs="Arial" w:ascii="Calibri" w:hAnsi="Calibri" w:asciiTheme="minorHAnsi" w:eastAsiaTheme="minorHAnsi" w:hAnsiTheme="minorHAnsi"/>
          <w:b/>
          <w:sz w:val="16"/>
          <w:szCs w:val="16"/>
          <w:lang w:eastAsia="en-US"/>
        </w:rPr>
        <w:t xml:space="preserve">                                               </w:t>
      </w:r>
      <w:r>
        <w:rPr>
          <w:rFonts w:eastAsia="Calibri" w:cs="Arial" w:ascii="Calibri" w:hAnsi="Calibri" w:asciiTheme="minorHAnsi" w:eastAsiaTheme="minorHAnsi" w:hAnsiTheme="minorHAnsi"/>
          <w:b/>
          <w:sz w:val="16"/>
          <w:szCs w:val="16"/>
          <w:lang w:eastAsia="en-US"/>
        </w:rPr>
        <w:t>CDR</w:t>
      </w:r>
      <w:r>
        <w:rPr>
          <w:rFonts w:eastAsia="Calibri" w:cs="Arial" w:ascii="Calibri" w:hAnsi="Calibri" w:asciiTheme="minorHAnsi" w:eastAsiaTheme="minorHAnsi" w:hAnsiTheme="minorHAnsi"/>
          <w:sz w:val="16"/>
          <w:szCs w:val="16"/>
          <w:lang w:eastAsia="en-US"/>
        </w:rPr>
        <w:t xml:space="preserve"> =                                                 _____________________________________________</w:t>
      </w:r>
    </w:p>
    <w:p>
      <w:pPr>
        <w:pStyle w:val="ListParagraph"/>
        <w:ind w:left="786" w:hanging="0"/>
        <w:jc w:val="center"/>
        <w:rPr>
          <w:rFonts w:ascii="Calibri" w:hAnsi="Calibri" w:eastAsia="Calibri" w:cs="Arial" w:asciiTheme="minorHAnsi" w:eastAsiaTheme="minorHAnsi" w:hAnsiTheme="minorHAnsi"/>
          <w:sz w:val="16"/>
          <w:szCs w:val="16"/>
          <w:lang w:eastAsia="en-US"/>
        </w:rPr>
      </w:pPr>
      <w:r>
        <w:rPr>
          <w:rFonts w:eastAsia="Calibri" w:cs="Arial" w:ascii="Calibri" w:hAnsi="Calibri" w:asciiTheme="minorHAnsi" w:eastAsiaTheme="minorHAnsi" w:hAnsiTheme="minorHAnsi"/>
          <w:sz w:val="16"/>
          <w:szCs w:val="16"/>
          <w:lang w:eastAsia="en-US"/>
        </w:rPr>
        <w:t xml:space="preserve">                                  </w:t>
      </w:r>
      <w:r>
        <w:rPr>
          <w:rFonts w:eastAsia="Calibri" w:cs="Arial" w:ascii="Calibri" w:hAnsi="Calibri" w:asciiTheme="minorHAnsi" w:eastAsiaTheme="minorHAnsi" w:hAnsiTheme="minorHAnsi"/>
          <w:sz w:val="16"/>
          <w:szCs w:val="16"/>
          <w:lang w:eastAsia="en-US"/>
        </w:rPr>
        <w:t>Dias do mês (30)</w:t>
      </w:r>
    </w:p>
    <w:p>
      <w:pPr>
        <w:pStyle w:val="ListParagraph"/>
        <w:ind w:left="786" w:hanging="0"/>
        <w:jc w:val="center"/>
        <w:rPr>
          <w:rFonts w:ascii="Calibri" w:hAnsi="Calibri" w:eastAsia="Calibri" w:cs="Arial" w:asciiTheme="minorHAnsi" w:eastAsiaTheme="minorHAnsi" w:hAnsiTheme="minorHAnsi"/>
          <w:sz w:val="16"/>
          <w:szCs w:val="16"/>
          <w:lang w:eastAsia="en-US"/>
        </w:rPr>
      </w:pPr>
      <w:r>
        <w:rPr>
          <w:rFonts w:eastAsia="Calibri" w:cs="Arial" w:eastAsiaTheme="minorHAnsi" w:ascii="Calibri" w:hAnsi="Calibri"/>
          <w:sz w:val="16"/>
          <w:szCs w:val="16"/>
          <w:lang w:eastAsia="en-US"/>
        </w:rPr>
      </w:r>
    </w:p>
    <w:p>
      <w:pPr>
        <w:pStyle w:val="ListParagraph"/>
        <w:numPr>
          <w:ilvl w:val="0"/>
          <w:numId w:val="1"/>
        </w:numPr>
        <w:rPr>
          <w:rFonts w:ascii="Calibri" w:hAnsi="Calibri" w:eastAsia="Calibri" w:cs="Arial" w:asciiTheme="minorHAnsi" w:eastAsiaTheme="minorHAnsi" w:hAnsiTheme="minorHAnsi"/>
          <w:sz w:val="16"/>
          <w:szCs w:val="16"/>
          <w:lang w:eastAsia="en-US"/>
        </w:rPr>
      </w:pPr>
      <w:r>
        <w:rPr>
          <w:rFonts w:eastAsia="Calibri" w:cs="Arial" w:ascii="Calibri" w:hAnsi="Calibri" w:asciiTheme="minorHAnsi" w:eastAsiaTheme="minorHAnsi" w:hAnsiTheme="minorHAnsi"/>
          <w:sz w:val="16"/>
          <w:szCs w:val="16"/>
          <w:lang w:eastAsia="en-US"/>
        </w:rPr>
        <w:t>No cálculo do custo diário de reposição de empregados ausentes, deve-se excluir os custos referentes às verbas que já foram consideradas na composição da planilha e que não deverão ser incluídas no custo do profissional vinculado ao contrato, tais como materiais, equipamentos, vale transporte, auxílio refeição, etc.</w:t>
      </w:r>
    </w:p>
    <w:p>
      <w:pPr>
        <w:pStyle w:val="ListParagraph"/>
        <w:ind w:left="786" w:hanging="0"/>
        <w:rPr>
          <w:rFonts w:ascii="Calibri" w:hAnsi="Calibri" w:eastAsia="Calibri" w:cs="Arial" w:asciiTheme="minorHAnsi" w:eastAsiaTheme="minorHAnsi" w:hAnsiTheme="minorHAnsi"/>
          <w:sz w:val="16"/>
          <w:szCs w:val="16"/>
          <w:lang w:eastAsia="en-US"/>
        </w:rPr>
      </w:pPr>
      <w:r>
        <w:rPr>
          <w:rFonts w:eastAsia="Calibri" w:cs="Arial" w:eastAsiaTheme="minorHAnsi" w:ascii="Calibri" w:hAnsi="Calibri"/>
          <w:sz w:val="16"/>
          <w:szCs w:val="16"/>
          <w:lang w:eastAsia="en-US"/>
        </w:rPr>
      </w:r>
    </w:p>
    <w:p>
      <w:pPr>
        <w:pStyle w:val="ListParagraph"/>
        <w:numPr>
          <w:ilvl w:val="0"/>
          <w:numId w:val="1"/>
        </w:numPr>
        <w:rPr>
          <w:rFonts w:ascii="Calibri" w:hAnsi="Calibri" w:eastAsia="Calibri" w:cs="Arial" w:asciiTheme="minorHAnsi" w:eastAsiaTheme="minorHAnsi" w:hAnsiTheme="minorHAnsi"/>
          <w:sz w:val="16"/>
          <w:szCs w:val="16"/>
          <w:lang w:eastAsia="en-US"/>
        </w:rPr>
      </w:pPr>
      <w:r>
        <w:rPr>
          <w:rFonts w:eastAsia="Calibri" w:cs="Arial" w:ascii="Calibri" w:hAnsi="Calibri" w:asciiTheme="minorHAnsi" w:eastAsiaTheme="minorHAnsi" w:hAnsiTheme="minorHAnsi"/>
          <w:sz w:val="16"/>
          <w:szCs w:val="16"/>
          <w:lang w:eastAsia="en-US"/>
        </w:rPr>
        <w:t>Deve-se considerar que o afastamento maternidade (4.1 – E) também é componente do custo do repositor. Embora a planilha se refira à própria licença maternidade, esta é paga pela Previdência Social e não pelo empregador, contudo, existem encargos correspondentes ao período do afastamento não cobertos pela previdência, tais como: férias proporcionais, encargos previdenciários, FGTS, e outros.</w:t>
      </w:r>
    </w:p>
    <w:p>
      <w:pPr>
        <w:pStyle w:val="ListParagraph"/>
        <w:rPr>
          <w:rFonts w:ascii="Calibri" w:hAnsi="Calibri" w:eastAsia="Calibri" w:cs="Arial" w:asciiTheme="minorHAnsi" w:eastAsiaTheme="minorHAnsi" w:hAnsiTheme="minorHAnsi"/>
          <w:b/>
          <w:b/>
          <w:sz w:val="16"/>
          <w:szCs w:val="16"/>
          <w:u w:val="single"/>
          <w:lang w:eastAsia="en-US"/>
        </w:rPr>
      </w:pPr>
      <w:r>
        <w:rPr>
          <w:rFonts w:eastAsia="Calibri" w:cs="Arial" w:eastAsiaTheme="minorHAnsi" w:ascii="Calibri" w:hAnsi="Calibri"/>
          <w:b/>
          <w:sz w:val="16"/>
          <w:szCs w:val="16"/>
          <w:u w:val="single"/>
          <w:lang w:eastAsia="en-US"/>
        </w:rPr>
      </w:r>
    </w:p>
    <w:p>
      <w:pPr>
        <w:pStyle w:val="ListParagraph"/>
        <w:ind w:left="786" w:hanging="0"/>
        <w:rPr>
          <w:rFonts w:ascii="Calibri" w:hAnsi="Calibri" w:eastAsia="Calibri" w:cs="Arial" w:asciiTheme="minorHAnsi" w:eastAsiaTheme="minorHAnsi" w:hAnsiTheme="minorHAnsi"/>
          <w:b/>
          <w:b/>
          <w:sz w:val="16"/>
          <w:szCs w:val="16"/>
          <w:u w:val="single"/>
          <w:lang w:eastAsia="en-US"/>
        </w:rPr>
      </w:pPr>
      <w:r>
        <w:rPr>
          <w:rFonts w:eastAsia="Calibri" w:cs="Arial" w:ascii="Calibri" w:hAnsi="Calibri" w:asciiTheme="minorHAnsi" w:eastAsiaTheme="minorHAnsi" w:hAnsiTheme="minorHAnsi"/>
          <w:b/>
          <w:sz w:val="16"/>
          <w:szCs w:val="16"/>
          <w:u w:val="single"/>
          <w:lang w:eastAsia="en-US"/>
        </w:rPr>
        <w:t xml:space="preserve">CÁLCULO DO </w:t>
      </w:r>
      <w:r>
        <w:rPr>
          <w:rFonts w:cs="Arial" w:ascii="Calibri" w:hAnsi="Calibri" w:asciiTheme="minorHAnsi" w:hAnsiTheme="minorHAnsi"/>
          <w:b/>
          <w:color w:val="FF0000"/>
          <w:sz w:val="18"/>
          <w:szCs w:val="18"/>
          <w:shd w:fill="FFFFFF" w:val="clear"/>
        </w:rPr>
        <w:t>SUBSTITUTO NA COBERTURA DE AFASTAMENTO MATERNIDADE</w:t>
      </w:r>
      <w:r>
        <w:rPr>
          <w:rFonts w:cs="Arial" w:ascii="Calibri" w:hAnsi="Calibri" w:asciiTheme="minorHAnsi" w:hAnsiTheme="minorHAnsi"/>
          <w:color w:val="FF0000"/>
          <w:sz w:val="18"/>
          <w:szCs w:val="18"/>
        </w:rPr>
        <w:t xml:space="preserve"> </w:t>
      </w:r>
      <w:r>
        <w:rPr>
          <w:rFonts w:cs="Arial" w:ascii="Calibri" w:hAnsi="Calibri" w:asciiTheme="minorHAnsi" w:hAnsiTheme="minorHAnsi"/>
          <w:sz w:val="18"/>
          <w:szCs w:val="18"/>
        </w:rPr>
        <w:t>(*)</w:t>
      </w:r>
    </w:p>
    <w:p>
      <w:pPr>
        <w:pStyle w:val="ListParagraph"/>
        <w:ind w:left="786" w:hanging="0"/>
        <w:rPr>
          <w:rFonts w:ascii="Calibri" w:hAnsi="Calibri" w:eastAsia="Calibri" w:cs="Arial" w:asciiTheme="minorHAnsi" w:eastAsiaTheme="minorHAnsi" w:hAnsiTheme="minorHAnsi"/>
          <w:b/>
          <w:b/>
          <w:sz w:val="16"/>
          <w:szCs w:val="16"/>
          <w:u w:val="single"/>
          <w:lang w:eastAsia="en-US"/>
        </w:rPr>
      </w:pPr>
      <w:r>
        <w:rPr>
          <w:rFonts w:eastAsia="Calibri" w:cs="Arial" w:eastAsiaTheme="minorHAnsi" w:ascii="Calibri" w:hAnsi="Calibri"/>
          <w:b/>
          <w:sz w:val="16"/>
          <w:szCs w:val="16"/>
          <w:u w:val="single"/>
          <w:lang w:eastAsia="en-US"/>
        </w:rPr>
      </w:r>
    </w:p>
    <w:p>
      <w:pPr>
        <w:pStyle w:val="ListParagraph"/>
        <w:ind w:left="786" w:hanging="0"/>
        <w:rPr>
          <w:rFonts w:ascii="Calibri" w:hAnsi="Calibri" w:eastAsia="Calibri" w:cs="Arial" w:asciiTheme="minorHAnsi" w:eastAsiaTheme="minorHAnsi" w:hAnsiTheme="minorHAnsi"/>
          <w:sz w:val="16"/>
          <w:szCs w:val="16"/>
          <w:lang w:val="en-US" w:eastAsia="en-US"/>
        </w:rPr>
      </w:pPr>
      <w:r>
        <w:rPr>
          <w:rFonts w:eastAsia="Calibri" w:cs="Arial" w:ascii="Calibri" w:hAnsi="Calibri" w:asciiTheme="minorHAnsi" w:eastAsiaTheme="minorHAnsi" w:hAnsiTheme="minorHAnsi"/>
          <w:sz w:val="16"/>
          <w:szCs w:val="16"/>
          <w:lang w:val="en-US" w:eastAsia="en-US"/>
        </w:rPr>
        <w:t>AMT: FPAM + (BMDND x 3,95 x  % a.a AM) : 12 + IAM</w:t>
      </w:r>
    </w:p>
    <w:p>
      <w:pPr>
        <w:pStyle w:val="ListParagraph"/>
        <w:ind w:left="786" w:hanging="0"/>
        <w:rPr>
          <w:rFonts w:ascii="Calibri" w:hAnsi="Calibri" w:eastAsia="Calibri" w:cs="Arial" w:asciiTheme="minorHAnsi" w:eastAsiaTheme="minorHAnsi" w:hAnsiTheme="minorHAnsi"/>
          <w:sz w:val="16"/>
          <w:szCs w:val="16"/>
          <w:lang w:val="en-US" w:eastAsia="en-US"/>
        </w:rPr>
      </w:pPr>
      <w:r>
        <w:rPr>
          <w:rFonts w:eastAsia="Calibri" w:cs="Arial" w:eastAsiaTheme="minorHAnsi" w:ascii="Calibri" w:hAnsi="Calibri"/>
          <w:sz w:val="16"/>
          <w:szCs w:val="16"/>
          <w:lang w:val="en-US" w:eastAsia="en-US"/>
        </w:rPr>
      </w:r>
    </w:p>
    <w:p>
      <w:pPr>
        <w:pStyle w:val="ListParagraph"/>
        <w:ind w:left="786" w:hanging="0"/>
        <w:rPr>
          <w:rFonts w:ascii="Calibri" w:hAnsi="Calibri" w:eastAsia="Calibri" w:cs="Arial" w:asciiTheme="minorHAnsi" w:eastAsiaTheme="minorHAnsi" w:hAnsiTheme="minorHAnsi"/>
          <w:sz w:val="16"/>
          <w:szCs w:val="16"/>
          <w:lang w:eastAsia="en-US"/>
        </w:rPr>
      </w:pPr>
      <w:r>
        <w:rPr>
          <w:rFonts w:eastAsia="Calibri" w:cs="Arial" w:ascii="Calibri" w:hAnsi="Calibri" w:asciiTheme="minorHAnsi" w:eastAsiaTheme="minorHAnsi" w:hAnsiTheme="minorHAnsi"/>
          <w:sz w:val="16"/>
          <w:szCs w:val="16"/>
          <w:lang w:eastAsia="en-US"/>
        </w:rPr>
        <w:t>FPAM (</w:t>
      </w:r>
      <w:r>
        <w:rPr>
          <w:rFonts w:eastAsia="Calibri" w:cs="Arial" w:ascii="Calibri" w:hAnsi="Calibri" w:asciiTheme="minorHAnsi" w:eastAsiaTheme="minorHAnsi" w:hAnsiTheme="minorHAnsi"/>
          <w:i/>
          <w:sz w:val="16"/>
          <w:szCs w:val="16"/>
          <w:lang w:eastAsia="en-US"/>
        </w:rPr>
        <w:t>Ferias proporcionais sobre o afastamento maternidade</w:t>
      </w:r>
      <w:r>
        <w:rPr>
          <w:rFonts w:eastAsia="Calibri" w:cs="Arial" w:ascii="Calibri" w:hAnsi="Calibri" w:asciiTheme="minorHAnsi" w:eastAsiaTheme="minorHAnsi" w:hAnsiTheme="minorHAnsi"/>
          <w:sz w:val="16"/>
          <w:szCs w:val="16"/>
          <w:lang w:eastAsia="en-US"/>
        </w:rPr>
        <w:t>) = [(F + AF) x 3,95/12)]</w:t>
      </w:r>
    </w:p>
    <w:p>
      <w:pPr>
        <w:pStyle w:val="ListParagraph"/>
        <w:ind w:left="786" w:hanging="0"/>
        <w:rPr>
          <w:rFonts w:ascii="Calibri" w:hAnsi="Calibri" w:eastAsia="Calibri" w:cs="Arial" w:asciiTheme="minorHAnsi" w:eastAsiaTheme="minorHAnsi" w:hAnsiTheme="minorHAnsi"/>
          <w:sz w:val="16"/>
          <w:szCs w:val="16"/>
          <w:lang w:eastAsia="en-US"/>
        </w:rPr>
      </w:pPr>
      <w:r>
        <w:rPr>
          <w:rFonts w:eastAsia="Calibri" w:cs="Arial" w:ascii="Calibri" w:hAnsi="Calibri" w:asciiTheme="minorHAnsi" w:eastAsiaTheme="minorHAnsi" w:hAnsiTheme="minorHAnsi"/>
          <w:sz w:val="16"/>
          <w:szCs w:val="16"/>
          <w:lang w:eastAsia="en-US"/>
        </w:rPr>
        <w:t>IAM (</w:t>
      </w:r>
      <w:r>
        <w:rPr>
          <w:rFonts w:eastAsia="Calibri" w:cs="Arial" w:ascii="Calibri" w:hAnsi="Calibri" w:asciiTheme="minorHAnsi" w:eastAsiaTheme="minorHAnsi" w:hAnsiTheme="minorHAnsi"/>
          <w:i/>
          <w:sz w:val="16"/>
          <w:szCs w:val="16"/>
          <w:lang w:eastAsia="en-US"/>
        </w:rPr>
        <w:t>Incidência do submódulo 2.2 sobre o afastamento maternidade</w:t>
      </w:r>
      <w:r>
        <w:rPr>
          <w:rFonts w:eastAsia="Calibri" w:cs="Arial" w:ascii="Calibri" w:hAnsi="Calibri" w:asciiTheme="minorHAnsi" w:eastAsiaTheme="minorHAnsi" w:hAnsiTheme="minorHAnsi"/>
          <w:sz w:val="16"/>
          <w:szCs w:val="16"/>
          <w:lang w:eastAsia="en-US"/>
        </w:rPr>
        <w:t>) = [(R + 13º) x %TE (alíquota encargos) x 3,95)] x %AM : 12</w:t>
      </w:r>
    </w:p>
    <w:p>
      <w:pPr>
        <w:pStyle w:val="ListParagraph"/>
        <w:ind w:left="786" w:hanging="0"/>
        <w:rPr>
          <w:rFonts w:ascii="Calibri" w:hAnsi="Calibri" w:eastAsia="Calibri" w:cs="Arial" w:asciiTheme="minorHAnsi" w:eastAsiaTheme="minorHAnsi" w:hAnsiTheme="minorHAnsi"/>
          <w:sz w:val="16"/>
          <w:szCs w:val="16"/>
          <w:lang w:eastAsia="en-US"/>
        </w:rPr>
      </w:pPr>
      <w:r>
        <w:rPr>
          <w:rFonts w:eastAsia="Calibri" w:cs="Arial" w:eastAsiaTheme="minorHAnsi" w:ascii="Calibri" w:hAnsi="Calibri"/>
          <w:sz w:val="16"/>
          <w:szCs w:val="16"/>
          <w:lang w:eastAsia="en-US"/>
        </w:rPr>
        <mc:AlternateContent>
          <mc:Choice Requires="wps">
            <w:drawing>
              <wp:anchor behindDoc="0" distT="0" distB="0" distL="0" distR="0" simplePos="0" locked="0" layoutInCell="1" allowOverlap="1" relativeHeight="16" wp14:anchorId="47304A93">
                <wp:simplePos x="0" y="0"/>
                <wp:positionH relativeFrom="column">
                  <wp:posOffset>1058545</wp:posOffset>
                </wp:positionH>
                <wp:positionV relativeFrom="paragraph">
                  <wp:posOffset>58420</wp:posOffset>
                </wp:positionV>
                <wp:extent cx="3480435" cy="481965"/>
                <wp:effectExtent l="0" t="0" r="26035" b="14605"/>
                <wp:wrapNone/>
                <wp:docPr id="6" name="Caixa de texto 6"/>
                <a:graphic xmlns:a="http://schemas.openxmlformats.org/drawingml/2006/main">
                  <a:graphicData uri="http://schemas.microsoft.com/office/word/2010/wordprocessingShape">
                    <wps:wsp>
                      <wps:cNvSpPr/>
                      <wps:spPr>
                        <a:xfrm>
                          <a:off x="0" y="0"/>
                          <a:ext cx="3479760" cy="481320"/>
                        </a:xfrm>
                        <a:prstGeom prst="rect">
                          <a:avLst/>
                        </a:prstGeom>
                        <a:solidFill>
                          <a:schemeClr val="bg2">
                            <a:lumMod val="90000"/>
                          </a:schemeClr>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Contedodoquadro"/>
                              <w:jc w:val="center"/>
                              <w:rPr>
                                <w:rFonts w:ascii="Calibri" w:hAnsi="Calibri" w:asciiTheme="minorHAnsi" w:hAnsiTheme="minorHAnsi"/>
                                <w:b/>
                                <w:b/>
                                <w:sz w:val="16"/>
                                <w:szCs w:val="16"/>
                              </w:rPr>
                            </w:pPr>
                            <w:r>
                              <w:rPr>
                                <w:rFonts w:ascii="Calibri" w:hAnsi="Calibri" w:asciiTheme="minorHAnsi" w:hAnsiTheme="minorHAnsi"/>
                                <w:b/>
                                <w:color w:val="000000"/>
                                <w:sz w:val="16"/>
                                <w:szCs w:val="16"/>
                              </w:rPr>
                              <w:t>Dias de licença a maternidade:</w:t>
                            </w:r>
                          </w:p>
                          <w:p>
                            <w:pPr>
                              <w:pStyle w:val="Contedodoquadro"/>
                              <w:jc w:val="center"/>
                              <w:rPr>
                                <w:rFonts w:ascii="Calibri" w:hAnsi="Calibri" w:asciiTheme="minorHAnsi" w:hAnsiTheme="minorHAnsi"/>
                                <w:sz w:val="16"/>
                                <w:szCs w:val="16"/>
                              </w:rPr>
                            </w:pPr>
                            <w:r>
                              <w:rPr>
                                <w:rFonts w:ascii="Calibri" w:hAnsi="Calibri" w:asciiTheme="minorHAnsi" w:hAnsiTheme="minorHAnsi"/>
                                <w:color w:val="000000"/>
                                <w:sz w:val="16"/>
                                <w:szCs w:val="16"/>
                              </w:rPr>
                              <w:t>365 / 12 = 30,4167 média de dias por mês</w:t>
                            </w:r>
                          </w:p>
                          <w:p>
                            <w:pPr>
                              <w:pStyle w:val="Contedodoquadro"/>
                              <w:jc w:val="center"/>
                              <w:rPr/>
                            </w:pPr>
                            <w:r>
                              <w:rPr>
                                <w:rFonts w:ascii="Calibri" w:hAnsi="Calibri" w:asciiTheme="minorHAnsi" w:hAnsiTheme="minorHAnsi"/>
                                <w:color w:val="000000"/>
                                <w:sz w:val="16"/>
                                <w:szCs w:val="16"/>
                              </w:rPr>
                              <w:t>120 / 30,4167 = 3,95 meses de licença maternidade</w:t>
                            </w:r>
                          </w:p>
                        </w:txbxContent>
                      </wps:txbx>
                      <wps:bodyPr>
                        <a:prstTxWarp prst="textNoShape"/>
                        <a:noAutofit/>
                      </wps:bodyPr>
                    </wps:wsp>
                  </a:graphicData>
                </a:graphic>
              </wp:anchor>
            </w:drawing>
          </mc:Choice>
          <mc:Fallback>
            <w:pict>
              <v:rect id="shape_0" ID="Caixa de texto 6" fillcolor="#ddd9c3" stroked="t" style="position:absolute;margin-left:83.35pt;margin-top:4.6pt;width:273.95pt;height:37.85pt" wp14:anchorId="47304A93">
                <w10:wrap type="square"/>
                <v:fill o:detectmouseclick="t" type="solid" color2="#22263c"/>
                <v:stroke color="black" weight="6480" joinstyle="round" endcap="flat"/>
                <v:textbox>
                  <w:txbxContent>
                    <w:p>
                      <w:pPr>
                        <w:pStyle w:val="Contedodoquadro"/>
                        <w:jc w:val="center"/>
                        <w:rPr>
                          <w:rFonts w:ascii="Calibri" w:hAnsi="Calibri" w:asciiTheme="minorHAnsi" w:hAnsiTheme="minorHAnsi"/>
                          <w:b/>
                          <w:b/>
                          <w:sz w:val="16"/>
                          <w:szCs w:val="16"/>
                        </w:rPr>
                      </w:pPr>
                      <w:r>
                        <w:rPr>
                          <w:rFonts w:ascii="Calibri" w:hAnsi="Calibri" w:asciiTheme="minorHAnsi" w:hAnsiTheme="minorHAnsi"/>
                          <w:b/>
                          <w:color w:val="000000"/>
                          <w:sz w:val="16"/>
                          <w:szCs w:val="16"/>
                        </w:rPr>
                        <w:t>Dias de licença a maternidade:</w:t>
                      </w:r>
                    </w:p>
                    <w:p>
                      <w:pPr>
                        <w:pStyle w:val="Contedodoquadro"/>
                        <w:jc w:val="center"/>
                        <w:rPr>
                          <w:rFonts w:ascii="Calibri" w:hAnsi="Calibri" w:asciiTheme="minorHAnsi" w:hAnsiTheme="minorHAnsi"/>
                          <w:sz w:val="16"/>
                          <w:szCs w:val="16"/>
                        </w:rPr>
                      </w:pPr>
                      <w:r>
                        <w:rPr>
                          <w:rFonts w:ascii="Calibri" w:hAnsi="Calibri" w:asciiTheme="minorHAnsi" w:hAnsiTheme="minorHAnsi"/>
                          <w:color w:val="000000"/>
                          <w:sz w:val="16"/>
                          <w:szCs w:val="16"/>
                        </w:rPr>
                        <w:t>365 / 12 = 30,4167 média de dias por mês</w:t>
                      </w:r>
                    </w:p>
                    <w:p>
                      <w:pPr>
                        <w:pStyle w:val="Contedodoquadro"/>
                        <w:jc w:val="center"/>
                        <w:rPr/>
                      </w:pPr>
                      <w:r>
                        <w:rPr>
                          <w:rFonts w:ascii="Calibri" w:hAnsi="Calibri" w:asciiTheme="minorHAnsi" w:hAnsiTheme="minorHAnsi"/>
                          <w:color w:val="000000"/>
                          <w:sz w:val="16"/>
                          <w:szCs w:val="16"/>
                        </w:rPr>
                        <w:t>120 / 30,4167 = 3,95 meses de licença maternidade</w:t>
                      </w:r>
                    </w:p>
                  </w:txbxContent>
                </v:textbox>
              </v:rect>
            </w:pict>
          </mc:Fallback>
        </mc:AlternateContent>
      </w:r>
    </w:p>
    <w:p>
      <w:pPr>
        <w:pStyle w:val="ListParagraph"/>
        <w:ind w:left="786" w:hanging="0"/>
        <w:jc w:val="center"/>
        <w:rPr>
          <w:rFonts w:ascii="Calibri" w:hAnsi="Calibri" w:eastAsia="Calibri" w:cs="Arial" w:asciiTheme="minorHAnsi" w:eastAsiaTheme="minorHAnsi" w:hAnsiTheme="minorHAnsi"/>
          <w:sz w:val="16"/>
          <w:szCs w:val="16"/>
          <w:lang w:eastAsia="en-US"/>
        </w:rPr>
      </w:pPr>
      <w:r>
        <w:rPr>
          <w:rFonts w:eastAsia="Calibri" w:cs="Arial" w:eastAsiaTheme="minorHAnsi" w:ascii="Calibri" w:hAnsi="Calibri"/>
          <w:sz w:val="16"/>
          <w:szCs w:val="16"/>
          <w:lang w:eastAsia="en-US"/>
        </w:rPr>
      </w:r>
    </w:p>
    <w:p>
      <w:pPr>
        <w:pStyle w:val="Normal"/>
        <w:jc w:val="center"/>
        <w:rPr>
          <w:rFonts w:ascii="Calibri" w:hAnsi="Calibri" w:cs="Arial" w:asciiTheme="minorHAnsi" w:hAnsiTheme="minorHAnsi"/>
        </w:rPr>
      </w:pPr>
      <w:r>
        <w:rPr>
          <w:rFonts w:cs="Arial" w:ascii="Calibri" w:hAnsi="Calibri"/>
        </w:rPr>
      </w:r>
    </w:p>
    <w:p>
      <w:pPr>
        <w:pStyle w:val="Normal"/>
        <w:jc w:val="both"/>
        <w:rPr>
          <w:rFonts w:ascii="Calibri" w:hAnsi="Calibri" w:cs="Arial"/>
          <w:u w:val="single"/>
          <w:lang w:val="pt-PT"/>
        </w:rPr>
      </w:pPr>
      <w:r>
        <w:rPr>
          <w:rFonts w:cs="Arial" w:ascii="Calibri" w:hAnsi="Calibri"/>
          <w:u w:val="single"/>
          <w:lang w:val="pt-PT"/>
        </w:rPr>
      </w:r>
    </w:p>
    <w:p>
      <w:pPr>
        <w:pStyle w:val="Normal"/>
        <w:jc w:val="both"/>
        <w:rPr>
          <w:rFonts w:ascii="Calibri" w:hAnsi="Calibri" w:cs="Arial"/>
          <w:u w:val="single"/>
          <w:lang w:val="pt-PT"/>
        </w:rPr>
      </w:pPr>
      <w:r>
        <w:rPr>
          <w:rFonts w:cs="Arial" w:ascii="Calibri" w:hAnsi="Calibri"/>
          <w:u w:val="single"/>
          <w:lang w:val="pt-PT"/>
        </w:rPr>
      </w:r>
    </w:p>
    <w:p>
      <w:pPr>
        <w:pStyle w:val="Normal"/>
        <w:jc w:val="both"/>
        <w:rPr>
          <w:rFonts w:ascii="Calibri" w:hAnsi="Calibri" w:cs="Arial"/>
          <w:u w:val="single"/>
          <w:lang w:val="pt-PT"/>
        </w:rPr>
      </w:pPr>
      <w:r>
        <w:rPr>
          <w:rFonts w:cs="Arial" w:ascii="Calibri" w:hAnsi="Calibri"/>
          <w:u w:val="single"/>
          <w:lang w:val="pt-PT"/>
        </w:rPr>
      </w:r>
    </w:p>
    <w:p>
      <w:pPr>
        <w:pStyle w:val="Normal"/>
        <w:jc w:val="both"/>
        <w:rPr>
          <w:rFonts w:ascii="Calibri" w:hAnsi="Calibri" w:cs="Arial"/>
          <w:u w:val="single"/>
          <w:lang w:val="pt-PT"/>
        </w:rPr>
      </w:pPr>
      <w:r>
        <w:rPr>
          <w:rFonts w:cs="Arial" w:ascii="Calibri" w:hAnsi="Calibri"/>
          <w:u w:val="single"/>
          <w:lang w:val="pt-PT"/>
        </w:rPr>
        <w:t xml:space="preserve">Submódulo 4.2 – </w:t>
      </w:r>
      <w:r>
        <w:rPr>
          <w:rStyle w:val="Strong"/>
          <w:rFonts w:cs="Arial" w:ascii="Calibri" w:hAnsi="Calibri" w:asciiTheme="minorHAnsi" w:hAnsiTheme="minorHAnsi"/>
          <w:b w:val="false"/>
          <w:color w:val="000000"/>
          <w:u w:val="single"/>
          <w:shd w:fill="FFFFFF" w:val="clear"/>
        </w:rPr>
        <w:t>Substituto na Intrajornada</w:t>
      </w:r>
    </w:p>
    <w:p>
      <w:pPr>
        <w:pStyle w:val="Normal"/>
        <w:jc w:val="both"/>
        <w:rPr>
          <w:rFonts w:ascii="Calibri" w:hAnsi="Calibri" w:cs="Arial"/>
          <w:b/>
          <w:b/>
        </w:rPr>
      </w:pPr>
      <w:r>
        <w:rPr>
          <w:rFonts w:cs="Arial" w:ascii="Calibri" w:hAnsi="Calibri"/>
          <w:b/>
        </w:rPr>
        <w:t>Não foi previsto na planilha, portanto, esse custo será zerado.</w:t>
      </w:r>
    </w:p>
    <w:p>
      <w:pPr>
        <w:pStyle w:val="Normal"/>
        <w:jc w:val="both"/>
        <w:rPr>
          <w:rFonts w:ascii="Calibri" w:hAnsi="Calibri" w:cs="Arial"/>
        </w:rPr>
      </w:pPr>
      <w:r>
        <w:rPr>
          <w:rFonts w:cs="Arial" w:ascii="Calibri" w:hAnsi="Calibri"/>
        </w:rPr>
      </w:r>
    </w:p>
    <w:p>
      <w:pPr>
        <w:pStyle w:val="Normal"/>
        <w:jc w:val="both"/>
        <w:rPr>
          <w:rFonts w:ascii="Calibri" w:hAnsi="Calibri" w:cs="Arial"/>
          <w:b/>
          <w:b/>
          <w:u w:val="single"/>
        </w:rPr>
      </w:pPr>
      <w:r>
        <w:rPr>
          <w:rFonts w:cs="Arial" w:ascii="Calibri" w:hAnsi="Calibri"/>
          <w:b/>
          <w:u w:val="single"/>
        </w:rPr>
      </w:r>
    </w:p>
    <w:p>
      <w:pPr>
        <w:pStyle w:val="Normal"/>
        <w:jc w:val="both"/>
        <w:rPr>
          <w:rFonts w:ascii="Calibri" w:hAnsi="Calibri" w:cs="Arial"/>
          <w:b/>
          <w:b/>
          <w:u w:val="single"/>
        </w:rPr>
      </w:pPr>
      <w:r>
        <w:rPr>
          <w:rFonts w:cs="Arial" w:ascii="Calibri" w:hAnsi="Calibri"/>
          <w:b/>
          <w:u w:val="single"/>
        </w:rPr>
        <w:t>Módulo 5 – Insumos Diversos</w:t>
      </w:r>
    </w:p>
    <w:p>
      <w:pPr>
        <w:pStyle w:val="Normal"/>
        <w:jc w:val="both"/>
        <w:rPr>
          <w:rFonts w:ascii="Calibri" w:hAnsi="Calibri" w:cs="Arial"/>
          <w:b/>
          <w:b/>
          <w:u w:val="single"/>
        </w:rPr>
      </w:pPr>
      <w:r>
        <w:rPr>
          <w:rFonts w:cs="Arial" w:ascii="Calibri" w:hAnsi="Calibri"/>
          <w:b/>
          <w:u w:val="single"/>
        </w:rPr>
      </w:r>
    </w:p>
    <w:p>
      <w:pPr>
        <w:pStyle w:val="Normal"/>
        <w:spacing w:lineRule="auto" w:line="276"/>
        <w:jc w:val="both"/>
        <w:rPr>
          <w:rFonts w:ascii="Calibri" w:hAnsi="Calibri" w:cs="Arial"/>
          <w:b/>
          <w:b/>
        </w:rPr>
      </w:pPr>
      <w:r>
        <w:rPr>
          <w:rFonts w:cs="Arial" w:ascii="Calibri" w:hAnsi="Calibri"/>
          <w:b/>
        </w:rPr>
        <w:t>A) Uniformes</w:t>
      </w:r>
    </w:p>
    <w:p>
      <w:pPr>
        <w:pStyle w:val="Normal"/>
        <w:spacing w:lineRule="auto" w:line="276"/>
        <w:jc w:val="both"/>
        <w:rPr>
          <w:rFonts w:ascii="Calibri" w:hAnsi="Calibri" w:cs="Arial"/>
        </w:rPr>
      </w:pPr>
      <w:r>
        <w:rPr>
          <w:rFonts w:cs="Arial" w:ascii="Calibri" w:hAnsi="Calibri"/>
        </w:rPr>
        <w:t xml:space="preserve">É considerado os valores praticados no mercado para uniforme e EPIS </w:t>
      </w:r>
    </w:p>
    <w:p>
      <w:pPr>
        <w:pStyle w:val="Normal"/>
        <w:spacing w:lineRule="auto" w:line="276"/>
        <w:jc w:val="both"/>
        <w:rPr>
          <w:rFonts w:ascii="Calibri" w:hAnsi="Calibri" w:cs="Arial"/>
        </w:rPr>
      </w:pPr>
      <w:r>
        <w:rPr>
          <w:rFonts w:cs="Arial" w:ascii="Calibri" w:hAnsi="Calibri"/>
        </w:rPr>
        <w:t>Quantidade estimada por ano, sendo 3 (três) conjuntos na admissão e mais 1 (um) conjunto a cada 6 (seis) meses, conforme Cláusula 52ª da CCT 2019/2020.</w:t>
      </w:r>
    </w:p>
    <w:p>
      <w:pPr>
        <w:pStyle w:val="Normal"/>
        <w:spacing w:lineRule="auto" w:line="276"/>
        <w:jc w:val="both"/>
        <w:rPr>
          <w:rFonts w:ascii="Calibri" w:hAnsi="Calibri" w:cs="Arial"/>
        </w:rPr>
      </w:pPr>
      <w:r>
        <w:rPr>
          <w:rFonts w:cs="Arial" w:ascii="Calibri" w:hAnsi="Calibri"/>
        </w:rPr>
      </w:r>
    </w:p>
    <w:p>
      <w:pPr>
        <w:pStyle w:val="Normal"/>
        <w:spacing w:lineRule="auto" w:line="276"/>
        <w:jc w:val="both"/>
        <w:rPr>
          <w:rFonts w:ascii="Calibri" w:hAnsi="Calibri" w:cs="Arial"/>
        </w:rPr>
      </w:pPr>
      <w:r>
        <w:rPr>
          <w:rFonts w:cs="Arial" w:ascii="Calibri" w:hAnsi="Calibri"/>
        </w:rPr>
        <w:t>O Caderno de Logísticas do Ministério do Planejamento Orçamento e Gestão, define a porcentagem de custos de Uniformes, com base no posto a ser contratado, mantendo o percentual de 1,45% de Servente, 1,27% Servente de Fachada, 1,23% para os Encarregados, e 1,15% para os Encarregados de Fachada utilizando  Base de Cálculo Módulos 1, 2, 3 e 4 da Planilha de Composição de Custos.</w:t>
      </w:r>
    </w:p>
    <w:p>
      <w:pPr>
        <w:pStyle w:val="Normal"/>
        <w:spacing w:lineRule="auto" w:line="276"/>
        <w:jc w:val="both"/>
        <w:rPr>
          <w:rFonts w:ascii="Calibri" w:hAnsi="Calibri" w:cs="Arial"/>
        </w:rPr>
      </w:pPr>
      <w:r>
        <w:rPr>
          <w:rFonts w:cs="Arial" w:ascii="Calibri" w:hAnsi="Calibri"/>
        </w:rPr>
      </w:r>
    </w:p>
    <w:p>
      <w:pPr>
        <w:pStyle w:val="Normal"/>
        <w:spacing w:lineRule="auto" w:line="276"/>
        <w:jc w:val="both"/>
        <w:rPr>
          <w:rFonts w:ascii="Calibri" w:hAnsi="Calibri" w:cs="Arial"/>
        </w:rPr>
      </w:pPr>
      <w:r>
        <w:rPr>
          <w:rFonts w:cs="Arial" w:ascii="Calibri" w:hAnsi="Calibri"/>
        </w:rPr>
        <w:t>Base de cálculo: Módulo 1+ Módulo 2 + Módulo 3 + Módulo 4</w:t>
      </w:r>
    </w:p>
    <w:p>
      <w:pPr>
        <w:pStyle w:val="Normal"/>
        <w:spacing w:lineRule="auto" w:line="276"/>
        <w:jc w:val="center"/>
        <w:rPr>
          <w:rFonts w:ascii="Calibri" w:hAnsi="Calibri" w:cs="Arial"/>
        </w:rPr>
      </w:pPr>
      <w:r>
        <w:rPr/>
        <w:drawing>
          <wp:inline distT="0" distB="0" distL="0" distR="3175">
            <wp:extent cx="4645025" cy="8496300"/>
            <wp:effectExtent l="0" t="0" r="0" b="0"/>
            <wp:docPr id="8" name="Imagem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6" descr=""/>
                    <pic:cNvPicPr>
                      <a:picLocks noChangeAspect="1" noChangeArrowheads="1"/>
                    </pic:cNvPicPr>
                  </pic:nvPicPr>
                  <pic:blipFill>
                    <a:blip r:embed="rId6"/>
                    <a:stretch>
                      <a:fillRect/>
                    </a:stretch>
                  </pic:blipFill>
                  <pic:spPr bwMode="auto">
                    <a:xfrm>
                      <a:off x="0" y="0"/>
                      <a:ext cx="4645025" cy="8496300"/>
                    </a:xfrm>
                    <a:prstGeom prst="rect">
                      <a:avLst/>
                    </a:prstGeom>
                  </pic:spPr>
                </pic:pic>
              </a:graphicData>
            </a:graphic>
          </wp:inline>
        </w:drawing>
      </w:r>
    </w:p>
    <w:p>
      <w:pPr>
        <w:pStyle w:val="Normal"/>
        <w:spacing w:lineRule="auto" w:line="276"/>
        <w:jc w:val="both"/>
        <w:rPr>
          <w:rFonts w:ascii="Calibri" w:hAnsi="Calibri" w:cs="Arial"/>
        </w:rPr>
      </w:pPr>
      <w:r>
        <w:rPr>
          <w:rFonts w:cs="Arial" w:ascii="Calibri" w:hAnsi="Calibri"/>
        </w:rPr>
      </w:r>
    </w:p>
    <w:p>
      <w:pPr>
        <w:pStyle w:val="Normal"/>
        <w:rPr>
          <w:rFonts w:ascii="Calibri" w:hAnsi="Calibri" w:cs="Arial" w:asciiTheme="minorHAnsi" w:hAnsiTheme="minorHAnsi"/>
          <w:b/>
          <w:b/>
        </w:rPr>
      </w:pPr>
      <w:r>
        <w:rPr>
          <w:rFonts w:cs="Arial" w:ascii="Calibri" w:hAnsi="Calibri"/>
          <w:b/>
        </w:rPr>
      </w:r>
    </w:p>
    <w:p>
      <w:pPr>
        <w:pStyle w:val="Normal"/>
        <w:rPr>
          <w:rFonts w:ascii="Calibri" w:hAnsi="Calibri" w:cs="Arial" w:asciiTheme="minorHAnsi" w:hAnsiTheme="minorHAnsi"/>
          <w:b/>
          <w:b/>
          <w:lang w:val="pt-PT"/>
        </w:rPr>
      </w:pPr>
      <w:r>
        <w:rPr>
          <w:rFonts w:cs="Arial" w:ascii="Calibri" w:hAnsi="Calibri" w:asciiTheme="minorHAnsi" w:hAnsiTheme="minorHAnsi"/>
          <w:b/>
          <w:lang w:val="pt-PT"/>
        </w:rPr>
        <w:t>B) MATERIAIS</w:t>
      </w:r>
    </w:p>
    <w:p>
      <w:pPr>
        <w:pStyle w:val="Normal"/>
        <w:jc w:val="both"/>
        <w:rPr>
          <w:rFonts w:ascii="Calibri" w:hAnsi="Calibri" w:cs="Arial" w:asciiTheme="minorHAnsi" w:hAnsiTheme="minorHAnsi"/>
          <w:sz w:val="18"/>
          <w:lang w:val="pt-PT"/>
        </w:rPr>
      </w:pPr>
      <w:r>
        <w:rPr>
          <w:rFonts w:cs="Arial" w:ascii="Calibri" w:hAnsi="Calibri" w:asciiTheme="minorHAnsi" w:hAnsiTheme="minorHAnsi"/>
          <w:sz w:val="18"/>
          <w:lang w:val="pt-PT"/>
        </w:rPr>
        <w:t>A quantidade de material é meramente estimativa e sugestiva, podendo haver variações no quantitativo e no descritivo a ser consumido. É obrigação da Contratada o fornecimento dos mesmos para completa execução dos serviços de limpeza, podendo ser de acordo com a tecnologia e treinamentos utilizados pela mesma.</w:t>
      </w:r>
    </w:p>
    <w:p>
      <w:pPr>
        <w:pStyle w:val="Normal"/>
        <w:jc w:val="both"/>
        <w:rPr>
          <w:rFonts w:ascii="Calibri" w:hAnsi="Calibri" w:cs="Arial" w:asciiTheme="minorHAnsi" w:hAnsiTheme="minorHAnsi"/>
          <w:sz w:val="18"/>
          <w:lang w:val="pt-PT"/>
        </w:rPr>
      </w:pPr>
      <w:r>
        <w:rPr>
          <w:rFonts w:cs="Arial" w:ascii="Calibri" w:hAnsi="Calibri" w:asciiTheme="minorHAnsi" w:hAnsiTheme="minorHAnsi"/>
          <w:sz w:val="18"/>
          <w:lang w:val="pt-PT"/>
        </w:rPr>
        <w:t>O Caderno de Logísticas do Ministério do Planejamento Orçamento e Gestão, define a porcentagem de custos de Uniformes, com base no posto de servente, mantendo o percentual de 12%, utilizando  a Base de Cálculo Módulo 1, Módulo 2, Módulo 3, Módulo 4 e SubMódulo 5.A (Uniformes), menos 9,25% incidente do COFINS, evitando assim bitributação da Planilha de Composição de Custos.</w:t>
      </w:r>
    </w:p>
    <w:p>
      <w:pPr>
        <w:pStyle w:val="Normal"/>
        <w:jc w:val="both"/>
        <w:rPr>
          <w:rFonts w:ascii="Calibri" w:hAnsi="Calibri" w:cs="Arial" w:asciiTheme="minorHAnsi" w:hAnsiTheme="minorHAnsi"/>
          <w:sz w:val="16"/>
          <w:lang w:val="pt-PT"/>
        </w:rPr>
      </w:pPr>
      <w:r>
        <w:rPr>
          <w:rFonts w:cs="Arial" w:ascii="Calibri" w:hAnsi="Calibri"/>
          <w:sz w:val="16"/>
          <w:lang w:val="pt-PT"/>
        </w:rPr>
      </w:r>
    </w:p>
    <w:p>
      <w:pPr>
        <w:pStyle w:val="Normal"/>
        <w:jc w:val="center"/>
        <w:rPr>
          <w:rFonts w:ascii="Calibri" w:hAnsi="Calibri" w:cs="Arial" w:asciiTheme="minorHAnsi" w:hAnsiTheme="minorHAnsi"/>
          <w:b/>
          <w:b/>
          <w:lang w:val="pt-PT"/>
        </w:rPr>
      </w:pPr>
      <w:r>
        <w:rPr/>
        <w:drawing>
          <wp:inline distT="0" distB="7620" distL="0" distR="3175">
            <wp:extent cx="3274060" cy="7402830"/>
            <wp:effectExtent l="0" t="0" r="0" b="0"/>
            <wp:docPr id="9" name="Imagem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10" descr=""/>
                    <pic:cNvPicPr>
                      <a:picLocks noChangeAspect="1" noChangeArrowheads="1"/>
                    </pic:cNvPicPr>
                  </pic:nvPicPr>
                  <pic:blipFill>
                    <a:blip r:embed="rId7"/>
                    <a:stretch>
                      <a:fillRect/>
                    </a:stretch>
                  </pic:blipFill>
                  <pic:spPr bwMode="auto">
                    <a:xfrm>
                      <a:off x="0" y="0"/>
                      <a:ext cx="3274060" cy="7402830"/>
                    </a:xfrm>
                    <a:prstGeom prst="rect">
                      <a:avLst/>
                    </a:prstGeom>
                  </pic:spPr>
                </pic:pic>
              </a:graphicData>
            </a:graphic>
          </wp:inline>
        </w:drawing>
      </w:r>
    </w:p>
    <w:p>
      <w:pPr>
        <w:pStyle w:val="Normal"/>
        <w:rPr>
          <w:rFonts w:ascii="Calibri" w:hAnsi="Calibri" w:cs="Arial" w:asciiTheme="minorHAnsi" w:hAnsiTheme="minorHAnsi"/>
          <w:b/>
          <w:b/>
          <w:lang w:val="pt-PT"/>
        </w:rPr>
      </w:pPr>
      <w:r>
        <w:rPr>
          <w:rFonts w:cs="Arial" w:ascii="Calibri" w:hAnsi="Calibri"/>
          <w:b/>
          <w:lang w:val="pt-PT"/>
        </w:rPr>
      </w:r>
    </w:p>
    <w:p>
      <w:pPr>
        <w:pStyle w:val="Normal"/>
        <w:rPr>
          <w:rFonts w:ascii="Calibri" w:hAnsi="Calibri" w:cs="Arial" w:asciiTheme="minorHAnsi" w:hAnsiTheme="minorHAnsi"/>
          <w:b/>
          <w:b/>
          <w:lang w:val="pt-PT"/>
        </w:rPr>
      </w:pPr>
      <w:r>
        <w:rPr>
          <w:rFonts w:cs="Arial" w:ascii="Calibri" w:hAnsi="Calibri"/>
          <w:b/>
          <w:lang w:val="pt-PT"/>
        </w:rPr>
      </w:r>
    </w:p>
    <w:p>
      <w:pPr>
        <w:pStyle w:val="Normal"/>
        <w:rPr>
          <w:rFonts w:ascii="Calibri" w:hAnsi="Calibri" w:eastAsia="Calibri" w:cs="Arial" w:eastAsiaTheme="minorHAnsi"/>
          <w:b/>
          <w:b/>
          <w:u w:val="single"/>
          <w:lang w:eastAsia="en-US"/>
        </w:rPr>
      </w:pPr>
      <w:r>
        <w:rPr>
          <w:rFonts w:eastAsia="Calibri" w:cs="Arial" w:ascii="Calibri" w:hAnsi="Calibri" w:eastAsiaTheme="minorHAnsi"/>
          <w:b/>
          <w:u w:val="single"/>
          <w:lang w:eastAsia="en-US"/>
        </w:rPr>
        <w:t>Módulo 6 – Custos Indiretos, Lucro e Tributos</w:t>
      </w:r>
    </w:p>
    <w:p>
      <w:pPr>
        <w:pStyle w:val="Normal"/>
        <w:rPr>
          <w:rFonts w:ascii="Calibri" w:hAnsi="Calibri" w:eastAsia="Calibri" w:cs="Arial" w:eastAsiaTheme="minorHAnsi"/>
          <w:b/>
          <w:b/>
          <w:u w:val="single"/>
          <w:lang w:eastAsia="en-US"/>
        </w:rPr>
      </w:pPr>
      <w:r>
        <w:rPr>
          <w:rFonts w:eastAsia="Calibri" w:cs="Arial" w:eastAsiaTheme="minorHAnsi" w:ascii="Calibri" w:hAnsi="Calibri"/>
          <w:b/>
          <w:u w:val="single"/>
          <w:lang w:eastAsia="en-US"/>
        </w:rPr>
      </w:r>
    </w:p>
    <w:tbl>
      <w:tblPr>
        <w:tblW w:w="5523" w:type="dxa"/>
        <w:jc w:val="center"/>
        <w:tblInd w:w="0" w:type="dxa"/>
        <w:tblCellMar>
          <w:top w:w="0" w:type="dxa"/>
          <w:left w:w="70" w:type="dxa"/>
          <w:bottom w:w="0" w:type="dxa"/>
          <w:right w:w="70" w:type="dxa"/>
        </w:tblCellMar>
        <w:tblLook w:firstRow="1" w:noVBand="1" w:lastRow="0" w:firstColumn="1" w:lastColumn="0" w:noHBand="0" w:val="04a0"/>
      </w:tblPr>
      <w:tblGrid>
        <w:gridCol w:w="849"/>
        <w:gridCol w:w="2126"/>
        <w:gridCol w:w="2548"/>
      </w:tblGrid>
      <w:tr>
        <w:trPr>
          <w:tblHeader w:val="true"/>
          <w:trHeight w:val="510" w:hRule="atLeast"/>
        </w:trPr>
        <w:tc>
          <w:tcPr>
            <w:tcW w:w="849"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jc w:val="center"/>
              <w:rPr>
                <w:rFonts w:ascii="Calibri" w:hAnsi="Calibri" w:cs="Arial"/>
                <w:b/>
                <w:b/>
                <w:bCs/>
                <w:color w:val="000000"/>
                <w:sz w:val="18"/>
                <w:szCs w:val="18"/>
              </w:rPr>
            </w:pPr>
            <w:r>
              <w:rPr>
                <w:rFonts w:cs="Arial" w:ascii="Calibri" w:hAnsi="Calibri"/>
                <w:b/>
                <w:bCs/>
                <w:color w:val="000000"/>
                <w:sz w:val="18"/>
                <w:szCs w:val="18"/>
              </w:rPr>
              <w:t>6</w:t>
            </w:r>
          </w:p>
        </w:tc>
        <w:tc>
          <w:tcPr>
            <w:tcW w:w="2126"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jc w:val="center"/>
              <w:rPr>
                <w:rFonts w:ascii="Calibri" w:hAnsi="Calibri" w:cs="Arial"/>
                <w:b/>
                <w:b/>
                <w:bCs/>
                <w:color w:val="000000"/>
                <w:sz w:val="18"/>
                <w:szCs w:val="18"/>
              </w:rPr>
            </w:pPr>
            <w:r>
              <w:rPr>
                <w:rFonts w:cs="Arial" w:ascii="Calibri" w:hAnsi="Calibri"/>
                <w:b/>
                <w:bCs/>
                <w:color w:val="000000"/>
                <w:sz w:val="18"/>
                <w:szCs w:val="18"/>
              </w:rPr>
              <w:t>CUSTOS INDIRETOS, TRIBUTOS E LUCRO REAL</w:t>
            </w:r>
          </w:p>
        </w:tc>
        <w:tc>
          <w:tcPr>
            <w:tcW w:w="2548"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jc w:val="center"/>
              <w:rPr>
                <w:rFonts w:ascii="Calibri" w:hAnsi="Calibri" w:cs="Arial"/>
                <w:b/>
                <w:b/>
                <w:bCs/>
                <w:color w:val="000000"/>
                <w:sz w:val="18"/>
                <w:szCs w:val="18"/>
              </w:rPr>
            </w:pPr>
            <w:r>
              <w:rPr>
                <w:rFonts w:cs="Arial" w:ascii="Calibri" w:hAnsi="Calibri"/>
                <w:b/>
                <w:bCs/>
                <w:color w:val="000000"/>
                <w:sz w:val="18"/>
                <w:szCs w:val="18"/>
              </w:rPr>
              <w:t xml:space="preserve">MEMÓRIA DE CÁLCULO </w:t>
            </w:r>
          </w:p>
        </w:tc>
      </w:tr>
      <w:tr>
        <w:trPr>
          <w:trHeight w:val="461" w:hRule="atLeast"/>
        </w:trPr>
        <w:tc>
          <w:tcPr>
            <w:tcW w:w="8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sz w:val="18"/>
                <w:szCs w:val="18"/>
              </w:rPr>
            </w:pPr>
            <w:r>
              <w:rPr>
                <w:rFonts w:cs="Arial" w:ascii="Calibri" w:hAnsi="Calibri"/>
                <w:sz w:val="18"/>
                <w:szCs w:val="18"/>
              </w:rPr>
              <w:t>A</w:t>
            </w:r>
          </w:p>
        </w:tc>
        <w:tc>
          <w:tcPr>
            <w:tcW w:w="21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asciiTheme="minorHAnsi" w:hAnsiTheme="minorHAnsi"/>
                <w:sz w:val="18"/>
                <w:szCs w:val="18"/>
              </w:rPr>
            </w:pPr>
            <w:r>
              <w:rPr>
                <w:rFonts w:cs="Arial" w:ascii="Calibri" w:hAnsi="Calibri" w:asciiTheme="minorHAnsi" w:hAnsiTheme="minorHAnsi"/>
                <w:sz w:val="18"/>
                <w:szCs w:val="18"/>
              </w:rPr>
              <w:t>Custos Indiretos</w:t>
            </w:r>
          </w:p>
        </w:tc>
        <w:tc>
          <w:tcPr>
            <w:tcW w:w="2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Calibri" w:hAnsi="Calibri" w:cs="Arial"/>
                <w:sz w:val="18"/>
                <w:szCs w:val="18"/>
              </w:rPr>
            </w:pPr>
            <w:r>
              <w:rPr>
                <w:rFonts w:cs="Arial" w:ascii="Calibri" w:hAnsi="Calibri"/>
                <w:sz w:val="18"/>
                <w:szCs w:val="18"/>
              </w:rPr>
              <w:t xml:space="preserve">Conforme valor pesquisado, será considerado a alíquota </w:t>
            </w:r>
            <w:r>
              <w:rPr>
                <w:rFonts w:cs="Arial" w:ascii="Calibri" w:hAnsi="Calibri" w:asciiTheme="minorHAnsi" w:hAnsiTheme="minorHAnsi"/>
                <w:b/>
              </w:rPr>
              <w:t>6,88%</w:t>
            </w:r>
          </w:p>
        </w:tc>
      </w:tr>
      <w:tr>
        <w:trPr>
          <w:trHeight w:val="422" w:hRule="atLeast"/>
        </w:trPr>
        <w:tc>
          <w:tcPr>
            <w:tcW w:w="8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sz w:val="18"/>
                <w:szCs w:val="18"/>
              </w:rPr>
            </w:pPr>
            <w:r>
              <w:rPr>
                <w:rFonts w:cs="Arial" w:ascii="Calibri" w:hAnsi="Calibri"/>
                <w:sz w:val="18"/>
                <w:szCs w:val="18"/>
              </w:rPr>
              <w:t>B</w:t>
            </w:r>
          </w:p>
        </w:tc>
        <w:tc>
          <w:tcPr>
            <w:tcW w:w="21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asciiTheme="minorHAnsi" w:hAnsiTheme="minorHAnsi"/>
                <w:sz w:val="18"/>
                <w:szCs w:val="18"/>
              </w:rPr>
            </w:pPr>
            <w:r>
              <w:rPr>
                <w:rFonts w:cs="Arial" w:ascii="Calibri" w:hAnsi="Calibri" w:asciiTheme="minorHAnsi" w:hAnsiTheme="minorHAnsi"/>
                <w:sz w:val="18"/>
                <w:szCs w:val="18"/>
              </w:rPr>
              <w:t>Lucro</w:t>
            </w:r>
          </w:p>
        </w:tc>
        <w:tc>
          <w:tcPr>
            <w:tcW w:w="2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Calibri" w:hAnsi="Calibri" w:cs="Arial"/>
                <w:sz w:val="18"/>
                <w:szCs w:val="18"/>
              </w:rPr>
            </w:pPr>
            <w:r>
              <w:rPr>
                <w:rFonts w:cs="Arial" w:ascii="Calibri" w:hAnsi="Calibri"/>
                <w:sz w:val="18"/>
                <w:szCs w:val="18"/>
              </w:rPr>
              <w:t xml:space="preserve">Conforme valor pesquisado, será considerado a alíquota </w:t>
            </w:r>
            <w:r>
              <w:rPr>
                <w:rFonts w:cs="Arial" w:ascii="Calibri" w:hAnsi="Calibri" w:asciiTheme="minorHAnsi" w:hAnsiTheme="minorHAnsi"/>
                <w:b/>
              </w:rPr>
              <w:t>4,49%</w:t>
            </w:r>
          </w:p>
        </w:tc>
      </w:tr>
      <w:tr>
        <w:trPr>
          <w:trHeight w:val="542" w:hRule="atLeast"/>
        </w:trPr>
        <w:tc>
          <w:tcPr>
            <w:tcW w:w="8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sz w:val="18"/>
                <w:szCs w:val="18"/>
              </w:rPr>
            </w:pPr>
            <w:r>
              <w:rPr>
                <w:rFonts w:cs="Arial" w:ascii="Calibri" w:hAnsi="Calibri"/>
                <w:sz w:val="18"/>
                <w:szCs w:val="18"/>
              </w:rPr>
              <w:t>C</w:t>
            </w:r>
          </w:p>
        </w:tc>
        <w:tc>
          <w:tcPr>
            <w:tcW w:w="21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asciiTheme="minorHAnsi" w:hAnsiTheme="minorHAnsi"/>
                <w:sz w:val="18"/>
                <w:szCs w:val="18"/>
              </w:rPr>
            </w:pPr>
            <w:r>
              <w:rPr>
                <w:rFonts w:cs="Arial" w:ascii="Calibri" w:hAnsi="Calibri" w:asciiTheme="minorHAnsi" w:hAnsiTheme="minorHAnsi"/>
                <w:sz w:val="18"/>
                <w:szCs w:val="18"/>
              </w:rPr>
              <w:t>Tributos</w:t>
            </w:r>
          </w:p>
        </w:tc>
        <w:tc>
          <w:tcPr>
            <w:tcW w:w="2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sz w:val="18"/>
                <w:szCs w:val="18"/>
              </w:rPr>
            </w:pPr>
            <w:r>
              <w:rPr>
                <w:rFonts w:cs="Arial" w:ascii="Calibri" w:hAnsi="Calibri"/>
                <w:sz w:val="18"/>
                <w:szCs w:val="18"/>
              </w:rPr>
            </w:r>
          </w:p>
        </w:tc>
      </w:tr>
      <w:tr>
        <w:trPr>
          <w:trHeight w:val="422" w:hRule="atLeast"/>
        </w:trPr>
        <w:tc>
          <w:tcPr>
            <w:tcW w:w="8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sz w:val="18"/>
                <w:szCs w:val="18"/>
              </w:rPr>
            </w:pPr>
            <w:r>
              <w:rPr>
                <w:rFonts w:cs="Arial" w:ascii="Calibri" w:hAnsi="Calibri"/>
                <w:sz w:val="18"/>
                <w:szCs w:val="18"/>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asciiTheme="minorHAnsi" w:hAnsiTheme="minorHAnsi"/>
                <w:sz w:val="18"/>
                <w:szCs w:val="18"/>
              </w:rPr>
            </w:pPr>
            <w:r>
              <w:rPr>
                <w:rFonts w:cs="Arial" w:ascii="Calibri" w:hAnsi="Calibri" w:asciiTheme="minorHAnsi" w:hAnsiTheme="minorHAnsi"/>
                <w:sz w:val="18"/>
                <w:szCs w:val="18"/>
              </w:rPr>
              <w:t xml:space="preserve">C.1. Tributos federais </w:t>
            </w:r>
          </w:p>
        </w:tc>
        <w:tc>
          <w:tcPr>
            <w:tcW w:w="2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sz w:val="18"/>
                <w:szCs w:val="18"/>
              </w:rPr>
            </w:pPr>
            <w:r>
              <w:rPr>
                <w:rFonts w:cs="Arial" w:ascii="Calibri" w:hAnsi="Calibri"/>
                <w:sz w:val="18"/>
                <w:szCs w:val="18"/>
              </w:rPr>
              <w:t>(PIS = 1,65% e COFINS = 7,65%)</w:t>
            </w:r>
          </w:p>
        </w:tc>
      </w:tr>
      <w:tr>
        <w:trPr>
          <w:trHeight w:val="422" w:hRule="atLeast"/>
        </w:trPr>
        <w:tc>
          <w:tcPr>
            <w:tcW w:w="8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sz w:val="18"/>
                <w:szCs w:val="18"/>
              </w:rPr>
            </w:pPr>
            <w:r>
              <w:rPr>
                <w:rFonts w:cs="Arial" w:ascii="Calibri" w:hAnsi="Calibri"/>
                <w:sz w:val="18"/>
                <w:szCs w:val="18"/>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asciiTheme="minorHAnsi" w:hAnsiTheme="minorHAnsi"/>
                <w:sz w:val="18"/>
                <w:szCs w:val="18"/>
              </w:rPr>
            </w:pPr>
            <w:r>
              <w:rPr>
                <w:rFonts w:cs="Arial" w:ascii="Calibri" w:hAnsi="Calibri" w:asciiTheme="minorHAnsi" w:hAnsiTheme="minorHAnsi"/>
                <w:sz w:val="18"/>
                <w:szCs w:val="18"/>
              </w:rPr>
              <w:t>C.2. Tributos estaduais</w:t>
            </w:r>
          </w:p>
        </w:tc>
        <w:tc>
          <w:tcPr>
            <w:tcW w:w="2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sz w:val="18"/>
                <w:szCs w:val="18"/>
              </w:rPr>
            </w:pPr>
            <w:r>
              <w:rPr>
                <w:rFonts w:cs="Arial" w:ascii="Calibri" w:hAnsi="Calibri"/>
                <w:sz w:val="18"/>
                <w:szCs w:val="18"/>
              </w:rPr>
              <w:t>(ESPECIFICAR)</w:t>
            </w:r>
          </w:p>
        </w:tc>
      </w:tr>
      <w:tr>
        <w:trPr>
          <w:trHeight w:val="416" w:hRule="atLeast"/>
        </w:trPr>
        <w:tc>
          <w:tcPr>
            <w:tcW w:w="8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sz w:val="18"/>
                <w:szCs w:val="18"/>
              </w:rPr>
            </w:pPr>
            <w:r>
              <w:rPr>
                <w:rFonts w:cs="Arial" w:ascii="Calibri" w:hAnsi="Calibri"/>
                <w:sz w:val="18"/>
                <w:szCs w:val="18"/>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asciiTheme="minorHAnsi" w:hAnsiTheme="minorHAnsi"/>
                <w:sz w:val="18"/>
                <w:szCs w:val="18"/>
              </w:rPr>
            </w:pPr>
            <w:r>
              <w:rPr>
                <w:rFonts w:cs="Arial" w:ascii="Calibri" w:hAnsi="Calibri" w:asciiTheme="minorHAnsi" w:hAnsiTheme="minorHAnsi"/>
                <w:sz w:val="18"/>
                <w:szCs w:val="18"/>
              </w:rPr>
              <w:t>C.3 Tributos municipais</w:t>
            </w:r>
          </w:p>
        </w:tc>
        <w:tc>
          <w:tcPr>
            <w:tcW w:w="2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sz w:val="18"/>
                <w:szCs w:val="18"/>
              </w:rPr>
            </w:pPr>
            <w:r>
              <w:rPr>
                <w:rFonts w:cs="Arial" w:ascii="Calibri" w:hAnsi="Calibri"/>
                <w:sz w:val="18"/>
                <w:szCs w:val="18"/>
              </w:rPr>
              <w:t>(ISS = 5,00%)</w:t>
            </w:r>
          </w:p>
        </w:tc>
      </w:tr>
      <w:tr>
        <w:trPr>
          <w:trHeight w:val="420" w:hRule="atLeast"/>
        </w:trPr>
        <w:tc>
          <w:tcPr>
            <w:tcW w:w="849" w:type="dxa"/>
            <w:tcBorders>
              <w:top w:val="single" w:sz="4" w:space="0" w:color="000000"/>
              <w:left w:val="single" w:sz="4" w:space="0" w:color="000000"/>
              <w:bottom w:val="single" w:sz="4" w:space="0" w:color="000000"/>
            </w:tcBorders>
            <w:shd w:color="auto" w:fill="EAF1DD" w:themeFill="accent3" w:themeFillTint="33" w:val="clear"/>
            <w:vAlign w:val="center"/>
          </w:tcPr>
          <w:p>
            <w:pPr>
              <w:pStyle w:val="Normal"/>
              <w:jc w:val="center"/>
              <w:rPr>
                <w:rFonts w:ascii="Calibri" w:hAnsi="Calibri" w:cs="Arial"/>
                <w:sz w:val="18"/>
                <w:szCs w:val="18"/>
              </w:rPr>
            </w:pPr>
            <w:r>
              <w:rPr>
                <w:rFonts w:cs="Arial" w:ascii="Calibri" w:hAnsi="Calibri"/>
                <w:sz w:val="18"/>
                <w:szCs w:val="18"/>
              </w:rPr>
            </w:r>
          </w:p>
        </w:tc>
        <w:tc>
          <w:tcPr>
            <w:tcW w:w="2126" w:type="dxa"/>
            <w:tcBorders>
              <w:top w:val="single" w:sz="4" w:space="0" w:color="000000"/>
              <w:bottom w:val="single" w:sz="4" w:space="0" w:color="000000"/>
              <w:right w:val="single" w:sz="4" w:space="0" w:color="000000"/>
            </w:tcBorders>
            <w:shd w:color="auto" w:fill="EAF1DD" w:themeFill="accent3" w:themeFillTint="33" w:val="clear"/>
            <w:vAlign w:val="center"/>
          </w:tcPr>
          <w:p>
            <w:pPr>
              <w:pStyle w:val="Normal"/>
              <w:rPr>
                <w:rFonts w:ascii="Calibri" w:hAnsi="Calibri" w:cs="Arial"/>
                <w:sz w:val="18"/>
                <w:szCs w:val="18"/>
              </w:rPr>
            </w:pPr>
            <w:r>
              <w:rPr>
                <w:rFonts w:cs="Arial" w:ascii="Calibri" w:hAnsi="Calibri"/>
                <w:sz w:val="18"/>
                <w:szCs w:val="18"/>
              </w:rPr>
              <w:t>Total</w:t>
            </w:r>
          </w:p>
        </w:tc>
        <w:tc>
          <w:tcPr>
            <w:tcW w:w="2548"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rPr>
                <w:rFonts w:ascii="Calibri" w:hAnsi="Calibri" w:cs="Arial"/>
                <w:sz w:val="18"/>
                <w:szCs w:val="18"/>
              </w:rPr>
            </w:pPr>
            <w:r>
              <w:rPr>
                <w:rFonts w:cs="Arial" w:ascii="Calibri" w:hAnsi="Calibri"/>
                <w:sz w:val="18"/>
                <w:szCs w:val="18"/>
              </w:rPr>
            </w:r>
          </w:p>
        </w:tc>
      </w:tr>
    </w:tbl>
    <w:p>
      <w:pPr>
        <w:pStyle w:val="Normal"/>
        <w:rPr>
          <w:rFonts w:ascii="Calibri" w:hAnsi="Calibri" w:eastAsia="Calibri" w:cs="Arial" w:eastAsiaTheme="minorHAnsi"/>
          <w:b/>
          <w:b/>
          <w:u w:val="single"/>
          <w:lang w:eastAsia="en-US"/>
        </w:rPr>
      </w:pPr>
      <w:r>
        <w:rPr>
          <w:rFonts w:eastAsia="Calibri" w:cs="Arial" w:eastAsiaTheme="minorHAnsi" w:ascii="Calibri" w:hAnsi="Calibri"/>
          <w:b/>
          <w:u w:val="single"/>
          <w:lang w:eastAsia="en-US"/>
        </w:rPr>
      </w:r>
    </w:p>
    <w:tbl>
      <w:tblPr>
        <w:tblW w:w="5523" w:type="dxa"/>
        <w:jc w:val="center"/>
        <w:tblInd w:w="0" w:type="dxa"/>
        <w:tblCellMar>
          <w:top w:w="0" w:type="dxa"/>
          <w:left w:w="70" w:type="dxa"/>
          <w:bottom w:w="0" w:type="dxa"/>
          <w:right w:w="70" w:type="dxa"/>
        </w:tblCellMar>
        <w:tblLook w:firstRow="1" w:noVBand="1" w:lastRow="0" w:firstColumn="1" w:lastColumn="0" w:noHBand="0" w:val="04a0"/>
      </w:tblPr>
      <w:tblGrid>
        <w:gridCol w:w="849"/>
        <w:gridCol w:w="2126"/>
        <w:gridCol w:w="2548"/>
      </w:tblGrid>
      <w:tr>
        <w:trPr>
          <w:tblHeader w:val="true"/>
          <w:trHeight w:val="510" w:hRule="atLeast"/>
        </w:trPr>
        <w:tc>
          <w:tcPr>
            <w:tcW w:w="849"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jc w:val="center"/>
              <w:rPr>
                <w:rFonts w:ascii="Calibri" w:hAnsi="Calibri" w:cs="Arial"/>
                <w:b/>
                <w:b/>
                <w:bCs/>
                <w:color w:val="000000"/>
                <w:sz w:val="18"/>
                <w:szCs w:val="18"/>
              </w:rPr>
            </w:pPr>
            <w:r>
              <w:rPr>
                <w:rFonts w:cs="Arial" w:ascii="Calibri" w:hAnsi="Calibri"/>
                <w:b/>
                <w:bCs/>
                <w:color w:val="000000"/>
                <w:sz w:val="18"/>
                <w:szCs w:val="18"/>
              </w:rPr>
              <w:t>6</w:t>
            </w:r>
          </w:p>
        </w:tc>
        <w:tc>
          <w:tcPr>
            <w:tcW w:w="2126"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jc w:val="center"/>
              <w:rPr>
                <w:rFonts w:ascii="Calibri" w:hAnsi="Calibri" w:cs="Arial"/>
                <w:b/>
                <w:b/>
                <w:bCs/>
                <w:color w:val="000000"/>
                <w:sz w:val="18"/>
                <w:szCs w:val="18"/>
              </w:rPr>
            </w:pPr>
            <w:r>
              <w:rPr>
                <w:rFonts w:cs="Arial" w:ascii="Calibri" w:hAnsi="Calibri"/>
                <w:b/>
                <w:bCs/>
                <w:color w:val="000000"/>
                <w:sz w:val="18"/>
                <w:szCs w:val="18"/>
              </w:rPr>
              <w:t>CUSTOS INDIRETOS, TRIBUTOS E LUCRO PRESUMIDO</w:t>
            </w:r>
          </w:p>
        </w:tc>
        <w:tc>
          <w:tcPr>
            <w:tcW w:w="2548"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jc w:val="center"/>
              <w:rPr>
                <w:rFonts w:ascii="Calibri" w:hAnsi="Calibri" w:cs="Arial"/>
                <w:b/>
                <w:b/>
                <w:bCs/>
                <w:color w:val="000000"/>
                <w:sz w:val="18"/>
                <w:szCs w:val="18"/>
              </w:rPr>
            </w:pPr>
            <w:r>
              <w:rPr>
                <w:rFonts w:cs="Arial" w:ascii="Calibri" w:hAnsi="Calibri"/>
                <w:b/>
                <w:bCs/>
                <w:color w:val="000000"/>
                <w:sz w:val="18"/>
                <w:szCs w:val="18"/>
              </w:rPr>
              <w:t xml:space="preserve">MEMÓRIA DE CÁLCULO </w:t>
            </w:r>
          </w:p>
        </w:tc>
      </w:tr>
      <w:tr>
        <w:trPr>
          <w:trHeight w:val="461" w:hRule="atLeast"/>
        </w:trPr>
        <w:tc>
          <w:tcPr>
            <w:tcW w:w="8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sz w:val="18"/>
                <w:szCs w:val="18"/>
              </w:rPr>
            </w:pPr>
            <w:r>
              <w:rPr>
                <w:rFonts w:cs="Arial" w:ascii="Calibri" w:hAnsi="Calibri"/>
                <w:sz w:val="18"/>
                <w:szCs w:val="18"/>
              </w:rPr>
              <w:t>A</w:t>
            </w:r>
          </w:p>
        </w:tc>
        <w:tc>
          <w:tcPr>
            <w:tcW w:w="21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asciiTheme="minorHAnsi" w:hAnsiTheme="minorHAnsi"/>
                <w:sz w:val="18"/>
                <w:szCs w:val="18"/>
              </w:rPr>
            </w:pPr>
            <w:r>
              <w:rPr>
                <w:rFonts w:cs="Arial" w:ascii="Calibri" w:hAnsi="Calibri" w:asciiTheme="minorHAnsi" w:hAnsiTheme="minorHAnsi"/>
                <w:sz w:val="18"/>
                <w:szCs w:val="18"/>
              </w:rPr>
              <w:t>Custos Indiretos</w:t>
            </w:r>
          </w:p>
        </w:tc>
        <w:tc>
          <w:tcPr>
            <w:tcW w:w="2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Calibri" w:hAnsi="Calibri" w:cs="Arial"/>
                <w:sz w:val="18"/>
                <w:szCs w:val="18"/>
              </w:rPr>
            </w:pPr>
            <w:r>
              <w:rPr>
                <w:rFonts w:cs="Arial" w:ascii="Calibri" w:hAnsi="Calibri"/>
                <w:sz w:val="18"/>
                <w:szCs w:val="18"/>
              </w:rPr>
              <w:t xml:space="preserve">Conforme valor pesquisado, será considerado a alíquota </w:t>
            </w:r>
            <w:r>
              <w:rPr>
                <w:rFonts w:cs="Arial" w:ascii="Calibri" w:hAnsi="Calibri" w:asciiTheme="minorHAnsi" w:hAnsiTheme="minorHAnsi"/>
                <w:b/>
              </w:rPr>
              <w:t>6,88%</w:t>
            </w:r>
          </w:p>
        </w:tc>
      </w:tr>
      <w:tr>
        <w:trPr>
          <w:trHeight w:val="422" w:hRule="atLeast"/>
        </w:trPr>
        <w:tc>
          <w:tcPr>
            <w:tcW w:w="8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sz w:val="18"/>
                <w:szCs w:val="18"/>
              </w:rPr>
            </w:pPr>
            <w:r>
              <w:rPr>
                <w:rFonts w:cs="Arial" w:ascii="Calibri" w:hAnsi="Calibri"/>
                <w:sz w:val="18"/>
                <w:szCs w:val="18"/>
              </w:rPr>
              <w:t>B</w:t>
            </w:r>
          </w:p>
        </w:tc>
        <w:tc>
          <w:tcPr>
            <w:tcW w:w="21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asciiTheme="minorHAnsi" w:hAnsiTheme="minorHAnsi"/>
                <w:sz w:val="18"/>
                <w:szCs w:val="18"/>
              </w:rPr>
            </w:pPr>
            <w:r>
              <w:rPr>
                <w:rFonts w:cs="Arial" w:ascii="Calibri" w:hAnsi="Calibri" w:asciiTheme="minorHAnsi" w:hAnsiTheme="minorHAnsi"/>
                <w:sz w:val="18"/>
                <w:szCs w:val="18"/>
              </w:rPr>
              <w:t>Lucro</w:t>
            </w:r>
          </w:p>
        </w:tc>
        <w:tc>
          <w:tcPr>
            <w:tcW w:w="2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Calibri" w:hAnsi="Calibri" w:cs="Arial"/>
                <w:sz w:val="18"/>
                <w:szCs w:val="18"/>
              </w:rPr>
            </w:pPr>
            <w:r>
              <w:rPr>
                <w:rFonts w:cs="Arial" w:ascii="Calibri" w:hAnsi="Calibri"/>
                <w:sz w:val="18"/>
                <w:szCs w:val="18"/>
              </w:rPr>
              <w:t xml:space="preserve">Conforme valor pesquisado, será considerado a alíquota </w:t>
            </w:r>
            <w:r>
              <w:rPr>
                <w:rFonts w:cs="Arial" w:ascii="Calibri" w:hAnsi="Calibri" w:asciiTheme="minorHAnsi" w:hAnsiTheme="minorHAnsi"/>
                <w:b/>
              </w:rPr>
              <w:t>4,49%</w:t>
            </w:r>
          </w:p>
        </w:tc>
      </w:tr>
      <w:tr>
        <w:trPr>
          <w:trHeight w:val="542" w:hRule="atLeast"/>
        </w:trPr>
        <w:tc>
          <w:tcPr>
            <w:tcW w:w="8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sz w:val="18"/>
                <w:szCs w:val="18"/>
              </w:rPr>
            </w:pPr>
            <w:r>
              <w:rPr>
                <w:rFonts w:cs="Arial" w:ascii="Calibri" w:hAnsi="Calibri"/>
                <w:sz w:val="18"/>
                <w:szCs w:val="18"/>
              </w:rPr>
              <w:t>C</w:t>
            </w:r>
          </w:p>
        </w:tc>
        <w:tc>
          <w:tcPr>
            <w:tcW w:w="21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asciiTheme="minorHAnsi" w:hAnsiTheme="minorHAnsi"/>
                <w:sz w:val="18"/>
                <w:szCs w:val="18"/>
              </w:rPr>
            </w:pPr>
            <w:r>
              <w:rPr>
                <w:rFonts w:cs="Arial" w:ascii="Calibri" w:hAnsi="Calibri" w:asciiTheme="minorHAnsi" w:hAnsiTheme="minorHAnsi"/>
                <w:sz w:val="18"/>
                <w:szCs w:val="18"/>
              </w:rPr>
              <w:t>Tributos</w:t>
            </w:r>
          </w:p>
        </w:tc>
        <w:tc>
          <w:tcPr>
            <w:tcW w:w="2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sz w:val="18"/>
                <w:szCs w:val="18"/>
              </w:rPr>
            </w:pPr>
            <w:r>
              <w:rPr>
                <w:rFonts w:cs="Arial" w:ascii="Calibri" w:hAnsi="Calibri"/>
                <w:sz w:val="18"/>
                <w:szCs w:val="18"/>
              </w:rPr>
            </w:r>
          </w:p>
        </w:tc>
      </w:tr>
      <w:tr>
        <w:trPr>
          <w:trHeight w:val="422" w:hRule="atLeast"/>
        </w:trPr>
        <w:tc>
          <w:tcPr>
            <w:tcW w:w="8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sz w:val="18"/>
                <w:szCs w:val="18"/>
              </w:rPr>
            </w:pPr>
            <w:r>
              <w:rPr>
                <w:rFonts w:cs="Arial" w:ascii="Calibri" w:hAnsi="Calibri"/>
                <w:sz w:val="18"/>
                <w:szCs w:val="18"/>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asciiTheme="minorHAnsi" w:hAnsiTheme="minorHAnsi"/>
                <w:sz w:val="18"/>
                <w:szCs w:val="18"/>
              </w:rPr>
            </w:pPr>
            <w:r>
              <w:rPr>
                <w:rFonts w:cs="Arial" w:ascii="Calibri" w:hAnsi="Calibri" w:asciiTheme="minorHAnsi" w:hAnsiTheme="minorHAnsi"/>
                <w:sz w:val="18"/>
                <w:szCs w:val="18"/>
              </w:rPr>
              <w:t xml:space="preserve">C.1. Tributos federais </w:t>
            </w:r>
          </w:p>
        </w:tc>
        <w:tc>
          <w:tcPr>
            <w:tcW w:w="2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sz w:val="18"/>
                <w:szCs w:val="18"/>
              </w:rPr>
            </w:pPr>
            <w:r>
              <w:rPr>
                <w:rFonts w:cs="Arial" w:ascii="Calibri" w:hAnsi="Calibri"/>
                <w:sz w:val="18"/>
                <w:szCs w:val="18"/>
              </w:rPr>
              <w:t>(PIS = 0,65% e COFINS = 3,00%)</w:t>
            </w:r>
          </w:p>
        </w:tc>
      </w:tr>
      <w:tr>
        <w:trPr>
          <w:trHeight w:val="422" w:hRule="atLeast"/>
        </w:trPr>
        <w:tc>
          <w:tcPr>
            <w:tcW w:w="8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sz w:val="18"/>
                <w:szCs w:val="18"/>
              </w:rPr>
            </w:pPr>
            <w:r>
              <w:rPr>
                <w:rFonts w:cs="Arial" w:ascii="Calibri" w:hAnsi="Calibri"/>
                <w:sz w:val="18"/>
                <w:szCs w:val="18"/>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asciiTheme="minorHAnsi" w:hAnsiTheme="minorHAnsi"/>
                <w:sz w:val="18"/>
                <w:szCs w:val="18"/>
              </w:rPr>
            </w:pPr>
            <w:r>
              <w:rPr>
                <w:rFonts w:cs="Arial" w:ascii="Calibri" w:hAnsi="Calibri" w:asciiTheme="minorHAnsi" w:hAnsiTheme="minorHAnsi"/>
                <w:sz w:val="18"/>
                <w:szCs w:val="18"/>
              </w:rPr>
              <w:t>C.2. Tributos estaduais</w:t>
            </w:r>
          </w:p>
        </w:tc>
        <w:tc>
          <w:tcPr>
            <w:tcW w:w="2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sz w:val="18"/>
                <w:szCs w:val="18"/>
              </w:rPr>
            </w:pPr>
            <w:r>
              <w:rPr>
                <w:rFonts w:cs="Arial" w:ascii="Calibri" w:hAnsi="Calibri"/>
                <w:sz w:val="18"/>
                <w:szCs w:val="18"/>
              </w:rPr>
              <w:t>(ESPECIFICAR)</w:t>
            </w:r>
          </w:p>
        </w:tc>
      </w:tr>
      <w:tr>
        <w:trPr>
          <w:trHeight w:val="416" w:hRule="atLeast"/>
        </w:trPr>
        <w:tc>
          <w:tcPr>
            <w:tcW w:w="8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Arial"/>
                <w:sz w:val="18"/>
                <w:szCs w:val="18"/>
              </w:rPr>
            </w:pPr>
            <w:r>
              <w:rPr>
                <w:rFonts w:cs="Arial" w:ascii="Calibri" w:hAnsi="Calibri"/>
                <w:sz w:val="18"/>
                <w:szCs w:val="18"/>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asciiTheme="minorHAnsi" w:hAnsiTheme="minorHAnsi"/>
                <w:sz w:val="18"/>
                <w:szCs w:val="18"/>
              </w:rPr>
            </w:pPr>
            <w:r>
              <w:rPr>
                <w:rFonts w:cs="Arial" w:ascii="Calibri" w:hAnsi="Calibri" w:asciiTheme="minorHAnsi" w:hAnsiTheme="minorHAnsi"/>
                <w:sz w:val="18"/>
                <w:szCs w:val="18"/>
              </w:rPr>
              <w:t>C.3 Tributos municipais</w:t>
            </w:r>
          </w:p>
        </w:tc>
        <w:tc>
          <w:tcPr>
            <w:tcW w:w="2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Arial"/>
                <w:sz w:val="18"/>
                <w:szCs w:val="18"/>
              </w:rPr>
            </w:pPr>
            <w:r>
              <w:rPr>
                <w:rFonts w:cs="Arial" w:ascii="Calibri" w:hAnsi="Calibri"/>
                <w:sz w:val="18"/>
                <w:szCs w:val="18"/>
              </w:rPr>
              <w:t>(ISS = 5,00%)</w:t>
            </w:r>
          </w:p>
        </w:tc>
      </w:tr>
      <w:tr>
        <w:trPr>
          <w:trHeight w:val="420" w:hRule="atLeast"/>
        </w:trPr>
        <w:tc>
          <w:tcPr>
            <w:tcW w:w="849" w:type="dxa"/>
            <w:tcBorders>
              <w:top w:val="single" w:sz="4" w:space="0" w:color="000000"/>
              <w:left w:val="single" w:sz="4" w:space="0" w:color="000000"/>
              <w:bottom w:val="single" w:sz="4" w:space="0" w:color="000000"/>
            </w:tcBorders>
            <w:shd w:color="auto" w:fill="EAF1DD" w:themeFill="accent3" w:themeFillTint="33" w:val="clear"/>
            <w:vAlign w:val="center"/>
          </w:tcPr>
          <w:p>
            <w:pPr>
              <w:pStyle w:val="Normal"/>
              <w:jc w:val="center"/>
              <w:rPr>
                <w:rFonts w:ascii="Calibri" w:hAnsi="Calibri" w:cs="Arial"/>
                <w:sz w:val="18"/>
                <w:szCs w:val="18"/>
              </w:rPr>
            </w:pPr>
            <w:r>
              <w:rPr>
                <w:rFonts w:cs="Arial" w:ascii="Calibri" w:hAnsi="Calibri"/>
                <w:sz w:val="18"/>
                <w:szCs w:val="18"/>
              </w:rPr>
            </w:r>
          </w:p>
        </w:tc>
        <w:tc>
          <w:tcPr>
            <w:tcW w:w="2126" w:type="dxa"/>
            <w:tcBorders>
              <w:top w:val="single" w:sz="4" w:space="0" w:color="000000"/>
              <w:bottom w:val="single" w:sz="4" w:space="0" w:color="000000"/>
              <w:right w:val="single" w:sz="4" w:space="0" w:color="000000"/>
            </w:tcBorders>
            <w:shd w:color="auto" w:fill="EAF1DD" w:themeFill="accent3" w:themeFillTint="33" w:val="clear"/>
            <w:vAlign w:val="center"/>
          </w:tcPr>
          <w:p>
            <w:pPr>
              <w:pStyle w:val="Normal"/>
              <w:rPr>
                <w:rFonts w:ascii="Calibri" w:hAnsi="Calibri" w:cs="Arial"/>
                <w:sz w:val="18"/>
                <w:szCs w:val="18"/>
              </w:rPr>
            </w:pPr>
            <w:r>
              <w:rPr>
                <w:rFonts w:cs="Arial" w:ascii="Calibri" w:hAnsi="Calibri"/>
                <w:sz w:val="18"/>
                <w:szCs w:val="18"/>
              </w:rPr>
              <w:t>Total</w:t>
            </w:r>
          </w:p>
        </w:tc>
        <w:tc>
          <w:tcPr>
            <w:tcW w:w="2548"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rPr>
                <w:rFonts w:ascii="Calibri" w:hAnsi="Calibri" w:cs="Arial"/>
                <w:sz w:val="18"/>
                <w:szCs w:val="18"/>
              </w:rPr>
            </w:pPr>
            <w:r>
              <w:rPr>
                <w:rFonts w:cs="Arial" w:ascii="Calibri" w:hAnsi="Calibri"/>
                <w:sz w:val="18"/>
                <w:szCs w:val="18"/>
              </w:rPr>
            </w:r>
          </w:p>
        </w:tc>
      </w:tr>
    </w:tbl>
    <w:p>
      <w:pPr>
        <w:pStyle w:val="Normal"/>
        <w:rPr>
          <w:rFonts w:ascii="Calibri" w:hAnsi="Calibri" w:eastAsia="Calibri" w:cs="Arial" w:eastAsiaTheme="minorHAnsi"/>
          <w:lang w:eastAsia="en-US"/>
        </w:rPr>
      </w:pPr>
      <w:r>
        <w:rPr>
          <w:rFonts w:eastAsia="Calibri" w:cs="Arial" w:eastAsiaTheme="minorHAnsi" w:ascii="Calibri" w:hAnsi="Calibri"/>
          <w:lang w:eastAsia="en-US"/>
        </w:rPr>
      </w:r>
    </w:p>
    <w:p>
      <w:pPr>
        <w:pStyle w:val="Normal"/>
        <w:jc w:val="both"/>
        <w:rPr>
          <w:rFonts w:ascii="Calibri" w:hAnsi="Calibri" w:eastAsia="Calibri" w:cs="Arial" w:eastAsiaTheme="minorHAnsi"/>
          <w:lang w:eastAsia="en-US"/>
        </w:rPr>
      </w:pPr>
      <w:r>
        <w:rPr>
          <w:rFonts w:eastAsia="Calibri" w:cs="Arial" w:ascii="Calibri" w:hAnsi="Calibri" w:eastAsiaTheme="minorHAnsi"/>
          <w:lang w:eastAsia="en-US"/>
        </w:rPr>
        <w:t>Para fins de estimativa, os percentuais médios de lucro e custos indiretos foram baseados nos valores praticados nas planilhas de custos por empresas do mesmo ramo de atuação.</w:t>
      </w:r>
    </w:p>
    <w:p>
      <w:pPr>
        <w:pStyle w:val="Normal"/>
        <w:jc w:val="both"/>
        <w:rPr>
          <w:rFonts w:ascii="Calibri" w:hAnsi="Calibri" w:eastAsia="Calibri" w:cs="Arial" w:eastAsiaTheme="minorHAnsi"/>
          <w:lang w:eastAsia="en-US"/>
        </w:rPr>
      </w:pPr>
      <w:r>
        <w:rPr>
          <w:rFonts w:eastAsia="Calibri" w:cs="Arial" w:eastAsiaTheme="minorHAnsi" w:ascii="Calibri" w:hAnsi="Calibri"/>
          <w:lang w:eastAsia="en-US"/>
        </w:rPr>
      </w:r>
    </w:p>
    <w:p>
      <w:pPr>
        <w:pStyle w:val="Normal"/>
        <w:spacing w:lineRule="auto" w:line="276"/>
        <w:jc w:val="both"/>
        <w:rPr>
          <w:rFonts w:ascii="Calibri" w:hAnsi="Calibri" w:cs="Arial" w:asciiTheme="minorHAnsi" w:hAnsiTheme="minorHAnsi"/>
          <w:b/>
          <w:b/>
          <w:u w:val="single"/>
        </w:rPr>
      </w:pPr>
      <w:r>
        <w:rPr>
          <w:rFonts w:cs="Arial" w:ascii="Calibri" w:hAnsi="Calibri" w:asciiTheme="minorHAnsi" w:hAnsiTheme="minorHAnsi"/>
          <w:b/>
          <w:u w:val="single"/>
        </w:rPr>
        <w:t>CÁLCULO CUSTOS INDIRETOS:</w:t>
      </w:r>
    </w:p>
    <w:p>
      <w:pPr>
        <w:pStyle w:val="Normal"/>
        <w:spacing w:lineRule="auto" w:line="276"/>
        <w:jc w:val="both"/>
        <w:rPr>
          <w:rFonts w:ascii="Calibri" w:hAnsi="Calibri" w:cs="Arial" w:asciiTheme="minorHAnsi" w:hAnsiTheme="minorHAnsi"/>
        </w:rPr>
      </w:pPr>
      <w:r>
        <w:rPr>
          <w:rFonts w:cs="Arial" w:ascii="Calibri" w:hAnsi="Calibri"/>
        </w:rPr>
      </w:r>
    </w:p>
    <w:p>
      <w:pPr>
        <w:pStyle w:val="Normal"/>
        <w:spacing w:lineRule="auto" w:line="276"/>
        <w:jc w:val="both"/>
        <w:rPr>
          <w:rFonts w:ascii="Calibri" w:hAnsi="Calibri" w:cs="Arial" w:asciiTheme="minorHAnsi" w:hAnsiTheme="minorHAnsi"/>
        </w:rPr>
      </w:pPr>
      <w:r>
        <w:rPr>
          <w:rFonts w:cs="Arial" w:ascii="Calibri" w:hAnsi="Calibri" w:asciiTheme="minorHAnsi" w:hAnsiTheme="minorHAnsi"/>
        </w:rPr>
        <w:t>Cálculo: (Módulo 1 + Módulo 2 + Módulo 3 + Módulo 4 + Módulo 5) x % custos indiretos (média praticada pelas empresas do setor)</w:t>
      </w:r>
    </w:p>
    <w:p>
      <w:pPr>
        <w:pStyle w:val="Normal"/>
        <w:spacing w:lineRule="auto" w:line="276"/>
        <w:jc w:val="both"/>
        <w:rPr>
          <w:rFonts w:ascii="Calibri" w:hAnsi="Calibri" w:cs="Arial" w:asciiTheme="minorHAnsi" w:hAnsiTheme="minorHAnsi"/>
        </w:rPr>
      </w:pPr>
      <w:r>
        <w:rPr>
          <w:rFonts w:cs="Arial" w:ascii="Calibri" w:hAnsi="Calibri"/>
        </w:rPr>
      </w:r>
    </w:p>
    <w:p>
      <w:pPr>
        <w:pStyle w:val="Normal"/>
        <w:spacing w:lineRule="auto" w:line="276"/>
        <w:jc w:val="both"/>
        <w:rPr>
          <w:rFonts w:ascii="Calibri" w:hAnsi="Calibri" w:cs="Arial" w:asciiTheme="minorHAnsi" w:hAnsiTheme="minorHAnsi"/>
        </w:rPr>
      </w:pPr>
      <w:r>
        <w:rPr>
          <w:rFonts w:cs="Arial" w:ascii="Calibri" w:hAnsi="Calibri" w:asciiTheme="minorHAnsi" w:hAnsiTheme="minorHAnsi"/>
        </w:rPr>
        <w:t>Proposta 1 (Pregão Eletrônico 5/2019 – UASG 150182) - Araúna = 4,70%</w:t>
      </w:r>
    </w:p>
    <w:p>
      <w:pPr>
        <w:pStyle w:val="Normal"/>
        <w:spacing w:lineRule="auto" w:line="276"/>
        <w:jc w:val="both"/>
        <w:rPr>
          <w:rFonts w:ascii="Calibri" w:hAnsi="Calibri" w:cs="Arial" w:asciiTheme="minorHAnsi" w:hAnsiTheme="minorHAnsi"/>
        </w:rPr>
      </w:pPr>
      <w:r>
        <w:rPr>
          <w:rFonts w:cs="Arial" w:ascii="Calibri" w:hAnsi="Calibri" w:asciiTheme="minorHAnsi" w:hAnsiTheme="minorHAnsi"/>
        </w:rPr>
        <w:t>Proposta 2 (Pregão Eletrônico 8/2019 – UASG 150182) – Rio Minas = 9,49%</w:t>
      </w:r>
    </w:p>
    <w:p>
      <w:pPr>
        <w:pStyle w:val="Normal"/>
        <w:spacing w:lineRule="auto" w:line="276"/>
        <w:jc w:val="both"/>
        <w:rPr>
          <w:rFonts w:ascii="Calibri" w:hAnsi="Calibri" w:cs="Arial" w:asciiTheme="minorHAnsi" w:hAnsiTheme="minorHAnsi"/>
        </w:rPr>
      </w:pPr>
      <w:r>
        <w:rPr>
          <w:rFonts w:cs="Arial" w:ascii="Calibri" w:hAnsi="Calibri" w:asciiTheme="minorHAnsi" w:hAnsiTheme="minorHAnsi"/>
        </w:rPr>
        <w:t>Proposta 3 (Pregão Eletrônico 38/2019 – UASG 150182) – Epic = 6,46%</w:t>
      </w:r>
    </w:p>
    <w:p>
      <w:pPr>
        <w:pStyle w:val="Normal"/>
        <w:spacing w:lineRule="auto" w:line="276"/>
        <w:jc w:val="both"/>
        <w:rPr>
          <w:rFonts w:ascii="Calibri" w:hAnsi="Calibri" w:cs="Arial" w:asciiTheme="minorHAnsi" w:hAnsiTheme="minorHAnsi"/>
          <w:b/>
          <w:b/>
        </w:rPr>
      </w:pPr>
      <w:r>
        <w:rPr>
          <w:rFonts w:cs="Arial" w:ascii="Calibri" w:hAnsi="Calibri" w:asciiTheme="minorHAnsi" w:hAnsiTheme="minorHAnsi"/>
          <w:b/>
        </w:rPr>
        <w:t>Média = 6,88%</w:t>
      </w:r>
      <w:bookmarkStart w:id="1" w:name="_Hlk34141936"/>
      <w:bookmarkEnd w:id="1"/>
    </w:p>
    <w:p>
      <w:pPr>
        <w:pStyle w:val="Normal"/>
        <w:spacing w:lineRule="auto" w:line="276"/>
        <w:jc w:val="both"/>
        <w:rPr>
          <w:rFonts w:ascii="Calibri" w:hAnsi="Calibri" w:cs="Arial" w:asciiTheme="minorHAnsi" w:hAnsiTheme="minorHAnsi"/>
        </w:rPr>
      </w:pPr>
      <w:r>
        <w:rPr>
          <w:rFonts w:cs="Arial" w:ascii="Calibri" w:hAnsi="Calibri"/>
        </w:rPr>
      </w:r>
    </w:p>
    <w:p>
      <w:pPr>
        <w:pStyle w:val="Normal"/>
        <w:spacing w:lineRule="auto" w:line="276"/>
        <w:jc w:val="both"/>
        <w:rPr>
          <w:rFonts w:ascii="Calibri" w:hAnsi="Calibri" w:cs="Arial" w:asciiTheme="minorHAnsi" w:hAnsiTheme="minorHAnsi"/>
          <w:b/>
          <w:b/>
          <w:u w:val="single"/>
        </w:rPr>
      </w:pPr>
      <w:r>
        <w:rPr>
          <w:rFonts w:cs="Arial" w:ascii="Calibri" w:hAnsi="Calibri" w:asciiTheme="minorHAnsi" w:hAnsiTheme="minorHAnsi"/>
          <w:b/>
          <w:u w:val="single"/>
        </w:rPr>
        <w:t>CÁLCULO LUCRO:</w:t>
      </w:r>
    </w:p>
    <w:p>
      <w:pPr>
        <w:pStyle w:val="Normal"/>
        <w:spacing w:lineRule="auto" w:line="276"/>
        <w:jc w:val="both"/>
        <w:rPr>
          <w:rFonts w:ascii="Calibri" w:hAnsi="Calibri" w:cs="Arial" w:asciiTheme="minorHAnsi" w:hAnsiTheme="minorHAnsi"/>
        </w:rPr>
      </w:pPr>
      <w:r>
        <w:rPr>
          <w:rFonts w:cs="Arial" w:ascii="Calibri" w:hAnsi="Calibri"/>
        </w:rPr>
      </w:r>
    </w:p>
    <w:p>
      <w:pPr>
        <w:pStyle w:val="Normal"/>
        <w:spacing w:lineRule="auto" w:line="276"/>
        <w:jc w:val="both"/>
        <w:rPr>
          <w:rFonts w:ascii="Calibri" w:hAnsi="Calibri" w:cs="Arial" w:asciiTheme="minorHAnsi" w:hAnsiTheme="minorHAnsi"/>
        </w:rPr>
      </w:pPr>
      <w:r>
        <w:rPr>
          <w:rFonts w:cs="Arial" w:ascii="Calibri" w:hAnsi="Calibri" w:asciiTheme="minorHAnsi" w:hAnsiTheme="minorHAnsi"/>
        </w:rPr>
        <w:t>Cálculo: (Módulo 1 + Módulo 2 + Módulo 3 + Módulo 4 + Módulo 5 + Módulo 6-A) x % lucro (média praticada pelas empresas do setor)</w:t>
      </w:r>
    </w:p>
    <w:p>
      <w:pPr>
        <w:pStyle w:val="Normal"/>
        <w:spacing w:lineRule="auto" w:line="276"/>
        <w:jc w:val="both"/>
        <w:rPr>
          <w:rFonts w:ascii="Calibri" w:hAnsi="Calibri" w:cs="Arial" w:asciiTheme="minorHAnsi" w:hAnsiTheme="minorHAnsi"/>
        </w:rPr>
      </w:pPr>
      <w:r>
        <w:rPr>
          <w:rFonts w:cs="Arial" w:ascii="Calibri" w:hAnsi="Calibri"/>
        </w:rPr>
      </w:r>
    </w:p>
    <w:p>
      <w:pPr>
        <w:pStyle w:val="Normal"/>
        <w:spacing w:lineRule="auto" w:line="276"/>
        <w:jc w:val="both"/>
        <w:rPr>
          <w:rFonts w:ascii="Calibri" w:hAnsi="Calibri" w:cs="Arial" w:asciiTheme="minorHAnsi" w:hAnsiTheme="minorHAnsi"/>
        </w:rPr>
      </w:pPr>
      <w:r>
        <w:rPr>
          <w:rFonts w:cs="Arial" w:ascii="Calibri" w:hAnsi="Calibri" w:asciiTheme="minorHAnsi" w:hAnsiTheme="minorHAnsi"/>
        </w:rPr>
        <w:t>Proposta 1 (Pregão Eletrônico 5/2019 – UASG 150182) - Araúna = 10,00%</w:t>
      </w:r>
    </w:p>
    <w:p>
      <w:pPr>
        <w:pStyle w:val="Normal"/>
        <w:spacing w:lineRule="auto" w:line="276"/>
        <w:jc w:val="both"/>
        <w:rPr>
          <w:rFonts w:ascii="Calibri" w:hAnsi="Calibri" w:cs="Arial" w:asciiTheme="minorHAnsi" w:hAnsiTheme="minorHAnsi"/>
        </w:rPr>
      </w:pPr>
      <w:r>
        <w:rPr>
          <w:rFonts w:cs="Arial" w:ascii="Calibri" w:hAnsi="Calibri" w:asciiTheme="minorHAnsi" w:hAnsiTheme="minorHAnsi"/>
        </w:rPr>
        <w:t>Proposta 2 (Pregão Eletrônico 8/2019 – UASG 150182) – Rio Minas = 6,2%</w:t>
      </w:r>
    </w:p>
    <w:p>
      <w:pPr>
        <w:pStyle w:val="Normal"/>
        <w:spacing w:lineRule="auto" w:line="276"/>
        <w:jc w:val="both"/>
        <w:rPr>
          <w:rFonts w:ascii="Calibri" w:hAnsi="Calibri" w:cs="Arial" w:asciiTheme="minorHAnsi" w:hAnsiTheme="minorHAnsi"/>
        </w:rPr>
      </w:pPr>
      <w:r>
        <w:rPr>
          <w:rFonts w:cs="Arial" w:ascii="Calibri" w:hAnsi="Calibri" w:asciiTheme="minorHAnsi" w:hAnsiTheme="minorHAnsi"/>
        </w:rPr>
        <w:t>Proposta 3 (Pregão Eletrônico 38/2019 – UASG 150182) – Epic = 3%</w:t>
      </w:r>
    </w:p>
    <w:p>
      <w:pPr>
        <w:pStyle w:val="Normal"/>
        <w:spacing w:lineRule="auto" w:line="276"/>
        <w:jc w:val="both"/>
        <w:rPr>
          <w:rFonts w:ascii="Calibri" w:hAnsi="Calibri" w:cs="Arial" w:asciiTheme="minorHAnsi" w:hAnsiTheme="minorHAnsi"/>
          <w:b/>
          <w:b/>
        </w:rPr>
      </w:pPr>
      <w:r>
        <w:rPr>
          <w:rFonts w:cs="Arial" w:ascii="Calibri" w:hAnsi="Calibri"/>
          <w:b/>
        </w:rPr>
      </w:r>
    </w:p>
    <w:p>
      <w:pPr>
        <w:pStyle w:val="Normal"/>
        <w:spacing w:lineRule="auto" w:line="276"/>
        <w:jc w:val="both"/>
        <w:rPr>
          <w:rFonts w:ascii="Calibri" w:hAnsi="Calibri" w:cs="Arial" w:asciiTheme="minorHAnsi" w:hAnsiTheme="minorHAnsi"/>
          <w:b/>
          <w:b/>
        </w:rPr>
      </w:pPr>
      <w:r>
        <w:rPr>
          <w:rFonts w:cs="Arial" w:ascii="Calibri" w:hAnsi="Calibri" w:asciiTheme="minorHAnsi" w:hAnsiTheme="minorHAnsi"/>
          <w:b/>
        </w:rPr>
        <w:t>Média = 4,49%</w:t>
      </w:r>
      <w:bookmarkStart w:id="2" w:name="_Hlk34141943"/>
      <w:bookmarkEnd w:id="2"/>
    </w:p>
    <w:p>
      <w:pPr>
        <w:pStyle w:val="Normal"/>
        <w:spacing w:lineRule="auto" w:line="276"/>
        <w:jc w:val="both"/>
        <w:rPr>
          <w:rFonts w:ascii="Calibri" w:hAnsi="Calibri" w:cs="Arial" w:asciiTheme="minorHAnsi" w:hAnsiTheme="minorHAnsi"/>
        </w:rPr>
      </w:pPr>
      <w:r>
        <w:rPr>
          <w:rFonts w:cs="Arial" w:ascii="Calibri" w:hAnsi="Calibri"/>
        </w:rPr>
      </w:r>
    </w:p>
    <w:p>
      <w:pPr>
        <w:pStyle w:val="Normal"/>
        <w:spacing w:lineRule="auto" w:line="276"/>
        <w:jc w:val="both"/>
        <w:rPr>
          <w:rFonts w:ascii="Calibri" w:hAnsi="Calibri" w:cs="Arial" w:asciiTheme="minorHAnsi" w:hAnsiTheme="minorHAnsi"/>
          <w:b/>
          <w:b/>
          <w:u w:val="single"/>
        </w:rPr>
      </w:pPr>
      <w:r>
        <w:rPr>
          <w:rFonts w:cs="Arial" w:ascii="Calibri" w:hAnsi="Calibri" w:asciiTheme="minorHAnsi" w:hAnsiTheme="minorHAnsi"/>
          <w:b/>
          <w:u w:val="single"/>
        </w:rPr>
        <w:t>CÁLCULO TRIBUTOS:</w:t>
      </w:r>
    </w:p>
    <w:p>
      <w:pPr>
        <w:pStyle w:val="Normal"/>
        <w:spacing w:lineRule="auto" w:line="276"/>
        <w:jc w:val="both"/>
        <w:rPr>
          <w:rFonts w:ascii="Calibri" w:hAnsi="Calibri" w:cs="Arial" w:asciiTheme="minorHAnsi" w:hAnsiTheme="minorHAnsi"/>
        </w:rPr>
      </w:pPr>
      <w:r>
        <w:rPr>
          <w:rFonts w:cs="Arial" w:ascii="Calibri" w:hAnsi="Calibri"/>
        </w:rPr>
      </w:r>
    </w:p>
    <w:p>
      <w:pPr>
        <w:pStyle w:val="Normal"/>
        <w:spacing w:lineRule="auto" w:line="276"/>
        <w:jc w:val="both"/>
        <w:rPr>
          <w:rFonts w:ascii="Calibri" w:hAnsi="Calibri" w:cs="Arial" w:asciiTheme="minorHAnsi" w:hAnsiTheme="minorHAnsi"/>
        </w:rPr>
      </w:pPr>
      <w:r>
        <w:rPr>
          <w:rFonts w:cs="Arial" w:ascii="Calibri" w:hAnsi="Calibri" w:asciiTheme="minorHAnsi" w:hAnsiTheme="minorHAnsi"/>
          <w:i/>
        </w:rPr>
        <w:t>Fator de divisão</w:t>
      </w:r>
      <w:r>
        <w:rPr>
          <w:rFonts w:cs="Arial" w:ascii="Calibri" w:hAnsi="Calibri" w:asciiTheme="minorHAnsi" w:hAnsiTheme="minorHAnsi"/>
        </w:rPr>
        <w:t>: 1 – (Alíquota do PIS + Alíquota da COFINS + Alíquota do ISS) : 100</w:t>
      </w:r>
    </w:p>
    <w:p>
      <w:pPr>
        <w:pStyle w:val="Normal"/>
        <w:spacing w:lineRule="auto" w:line="276"/>
        <w:jc w:val="both"/>
        <w:rPr>
          <w:rFonts w:ascii="Calibri" w:hAnsi="Calibri" w:cs="Arial" w:asciiTheme="minorHAnsi" w:hAnsiTheme="minorHAnsi"/>
        </w:rPr>
      </w:pPr>
      <w:r>
        <w:rPr>
          <w:rFonts w:cs="Arial" w:ascii="Calibri" w:hAnsi="Calibri"/>
        </w:rPr>
      </w:r>
    </w:p>
    <w:p>
      <w:pPr>
        <w:pStyle w:val="Normal"/>
        <w:spacing w:lineRule="auto" w:line="276"/>
        <w:jc w:val="both"/>
        <w:rPr>
          <w:rFonts w:ascii="Calibri" w:hAnsi="Calibri" w:cs="Arial" w:asciiTheme="minorHAnsi" w:hAnsiTheme="minorHAnsi"/>
        </w:rPr>
      </w:pPr>
      <w:r>
        <w:rPr>
          <w:rFonts w:cs="Arial" w:ascii="Calibri" w:hAnsi="Calibri" w:asciiTheme="minorHAnsi" w:hAnsiTheme="minorHAnsi"/>
          <w:b/>
          <w:color w:val="FF0000"/>
        </w:rPr>
        <w:t>Base de Cálculo:</w:t>
      </w:r>
      <w:r>
        <w:rPr>
          <w:rFonts w:cs="Arial" w:ascii="Calibri" w:hAnsi="Calibri" w:asciiTheme="minorHAnsi" w:hAnsiTheme="minorHAnsi"/>
          <w:color w:val="FF0000"/>
        </w:rPr>
        <w:t xml:space="preserve"> </w:t>
      </w:r>
      <w:r>
        <w:rPr>
          <w:rFonts w:cs="Arial" w:ascii="Calibri" w:hAnsi="Calibri" w:asciiTheme="minorHAnsi" w:hAnsiTheme="minorHAnsi"/>
        </w:rPr>
        <w:t>(Módulo 1 + Módulo 2 + Módulo 3 + Módulo 4 + Módulo 5 + Módulo 6-A + Modulo 6-B) : Fator de Divisão</w:t>
      </w:r>
    </w:p>
    <w:p>
      <w:pPr>
        <w:pStyle w:val="Normal"/>
        <w:spacing w:lineRule="auto" w:line="276"/>
        <w:jc w:val="both"/>
        <w:rPr>
          <w:rFonts w:ascii="Calibri" w:hAnsi="Calibri" w:eastAsia="Calibri" w:asciiTheme="minorHAnsi" w:eastAsiaTheme="minorHAnsi" w:hAnsiTheme="minorHAnsi"/>
          <w:highlight w:val="yellow"/>
          <w:lang w:eastAsia="en-US"/>
        </w:rPr>
      </w:pPr>
      <w:r>
        <w:rPr>
          <w:rFonts w:eastAsia="Calibri" w:eastAsiaTheme="minorHAnsi" w:ascii="Calibri" w:hAnsi="Calibri"/>
          <w:highlight w:val="yellow"/>
          <w:lang w:eastAsia="en-US"/>
        </w:rPr>
      </w:r>
    </w:p>
    <w:p>
      <w:pPr>
        <w:pStyle w:val="Normal"/>
        <w:jc w:val="center"/>
        <w:rPr>
          <w:rFonts w:ascii="Calibri" w:hAnsi="Calibri" w:cs="Arial" w:asciiTheme="minorHAnsi" w:hAnsiTheme="minorHAnsi"/>
          <w:b/>
          <w:b/>
        </w:rPr>
      </w:pPr>
      <w:r>
        <w:rPr>
          <w:rFonts w:cs="Arial" w:ascii="Calibri" w:hAnsi="Calibri" w:asciiTheme="minorHAnsi" w:hAnsiTheme="minorHAnsi"/>
          <w:b/>
        </w:rPr>
        <w:t>Cálculo tributos federais: Base de cálculo x alíquota (PIS e COFINS)</w:t>
      </w:r>
    </w:p>
    <w:p>
      <w:pPr>
        <w:pStyle w:val="Normal"/>
        <w:jc w:val="center"/>
        <w:rPr>
          <w:rFonts w:ascii="Calibri" w:hAnsi="Calibri" w:cs="Arial" w:asciiTheme="minorHAnsi" w:hAnsiTheme="minorHAnsi"/>
          <w:b/>
          <w:b/>
        </w:rPr>
      </w:pPr>
      <w:r>
        <w:rPr>
          <w:rFonts w:cs="Arial" w:ascii="Calibri" w:hAnsi="Calibri" w:asciiTheme="minorHAnsi" w:hAnsiTheme="minorHAnsi"/>
          <w:b/>
        </w:rPr>
        <w:t>Cálculo tributos municipais: Base de cálculo x alíquota (ISS)</w:t>
      </w:r>
    </w:p>
    <w:p>
      <w:pPr>
        <w:pStyle w:val="Normal"/>
        <w:jc w:val="center"/>
        <w:rPr>
          <w:rFonts w:ascii="Calibri" w:hAnsi="Calibri" w:eastAsia="Calibri" w:cs="Arial" w:eastAsiaTheme="minorHAnsi"/>
          <w:b/>
          <w:b/>
          <w:lang w:eastAsia="en-US"/>
        </w:rPr>
      </w:pPr>
      <w:r>
        <w:rPr>
          <w:rFonts w:eastAsia="Calibri" w:cs="Arial" w:eastAsiaTheme="minorHAnsi" w:ascii="Calibri" w:hAnsi="Calibri"/>
          <w:b/>
          <w:lang w:eastAsia="en-US"/>
        </w:rPr>
      </w:r>
    </w:p>
    <w:p>
      <w:pPr>
        <w:pStyle w:val="Normal"/>
        <w:jc w:val="both"/>
        <w:rPr>
          <w:rFonts w:ascii="Calibri" w:hAnsi="Calibri" w:eastAsia="Calibri" w:cs="Arial" w:eastAsiaTheme="minorHAnsi"/>
          <w:lang w:eastAsia="en-US"/>
        </w:rPr>
      </w:pPr>
      <w:r>
        <w:rPr>
          <w:rFonts w:eastAsia="Calibri" w:cs="Arial" w:eastAsiaTheme="minorHAnsi" w:ascii="Calibri" w:hAnsi="Calibri"/>
          <w:lang w:eastAsia="en-US"/>
        </w:rPr>
      </w:r>
    </w:p>
    <w:p>
      <w:pPr>
        <w:pStyle w:val="Normal"/>
        <w:spacing w:lineRule="auto" w:line="276"/>
        <w:jc w:val="both"/>
        <w:rPr>
          <w:rFonts w:ascii="Calibri" w:hAnsi="Calibri" w:eastAsia="Calibri" w:cs="Arial" w:eastAsiaTheme="minorHAnsi"/>
          <w:b/>
          <w:b/>
          <w:u w:val="single"/>
          <w:lang w:eastAsia="en-US"/>
        </w:rPr>
      </w:pPr>
      <w:r>
        <w:rPr>
          <w:rFonts w:eastAsia="Calibri" w:cs="Arial" w:ascii="Calibri" w:hAnsi="Calibri" w:eastAsiaTheme="minorHAnsi"/>
          <w:b/>
          <w:u w:val="single"/>
          <w:lang w:eastAsia="en-US"/>
        </w:rPr>
        <w:t>Tributação</w:t>
      </w:r>
    </w:p>
    <w:p>
      <w:pPr>
        <w:pStyle w:val="Normal"/>
        <w:spacing w:lineRule="auto" w:line="276"/>
        <w:jc w:val="both"/>
        <w:rPr>
          <w:rFonts w:ascii="Calibri" w:hAnsi="Calibri" w:eastAsia="Calibri" w:cs="Arial" w:eastAsiaTheme="minorHAnsi"/>
          <w:lang w:eastAsia="en-US"/>
        </w:rPr>
      </w:pPr>
      <w:r>
        <w:rPr>
          <w:rFonts w:eastAsia="Calibri" w:cs="Arial" w:eastAsiaTheme="minorHAnsi" w:ascii="Calibri" w:hAnsi="Calibri"/>
          <w:lang w:eastAsia="en-US"/>
        </w:rPr>
      </w:r>
    </w:p>
    <w:p>
      <w:pPr>
        <w:pStyle w:val="Normal"/>
        <w:spacing w:lineRule="auto" w:line="276"/>
        <w:jc w:val="both"/>
        <w:rPr>
          <w:rFonts w:ascii="Calibri" w:hAnsi="Calibri" w:eastAsia="Calibri" w:cs="Arial" w:asciiTheme="minorHAnsi" w:eastAsiaTheme="minorHAnsi" w:hAnsiTheme="minorHAnsi"/>
          <w:lang w:eastAsia="en-US"/>
        </w:rPr>
      </w:pPr>
      <w:r>
        <w:rPr>
          <w:rFonts w:eastAsia="Calibri" w:cs="Arial" w:ascii="Calibri" w:hAnsi="Calibri" w:asciiTheme="minorHAnsi" w:eastAsiaTheme="minorHAnsi" w:hAnsiTheme="minorHAnsi"/>
          <w:lang w:eastAsia="en-US"/>
        </w:rPr>
        <w:t>Os tributos (ISS, COFINS e PIS) foram definidos utilizando o regime de tributação de Lucro REAL e PRESUMIDO, e a licitante deve elaborar sua proposta e, por conseguinte, sua planilha com base no regime de tributação ao qual estará submetido durante a execução do contrato.</w:t>
      </w:r>
    </w:p>
    <w:p>
      <w:pPr>
        <w:pStyle w:val="Normal"/>
        <w:spacing w:lineRule="auto" w:line="276"/>
        <w:jc w:val="both"/>
        <w:rPr>
          <w:rFonts w:ascii="Calibri" w:hAnsi="Calibri" w:eastAsia="Calibri" w:cs="Arial" w:asciiTheme="minorHAnsi" w:eastAsiaTheme="minorHAnsi" w:hAnsiTheme="minorHAnsi"/>
          <w:lang w:eastAsia="en-US"/>
        </w:rPr>
      </w:pPr>
      <w:r>
        <w:rPr>
          <w:rFonts w:eastAsia="Calibri" w:cs="Arial" w:eastAsiaTheme="minorHAnsi" w:ascii="Calibri" w:hAnsi="Calibri"/>
          <w:lang w:eastAsia="en-US"/>
        </w:rPr>
      </w:r>
    </w:p>
    <w:p>
      <w:pPr>
        <w:pStyle w:val="Normal"/>
        <w:spacing w:lineRule="auto" w:line="276"/>
        <w:jc w:val="both"/>
        <w:rPr>
          <w:rFonts w:ascii="Calibri" w:hAnsi="Calibri" w:cs="Arial" w:asciiTheme="minorHAnsi" w:hAnsiTheme="minorHAnsi"/>
        </w:rPr>
      </w:pPr>
      <w:r>
        <w:rPr>
          <w:rFonts w:cs="Arial" w:ascii="Calibri" w:hAnsi="Calibri" w:asciiTheme="minorHAnsi" w:hAnsiTheme="minorHAnsi"/>
        </w:rPr>
        <w:t xml:space="preserve">O ISSQN está sendo cotado conforme a legislação do município de Niterói onde serão prestados os serviços. Os tributos IRPJ e CSLL deixaram de constar na planilha </w:t>
      </w:r>
      <w:r>
        <w:rPr>
          <w:rFonts w:cs="Arial" w:ascii="Calibri" w:hAnsi="Calibri" w:asciiTheme="minorHAnsi" w:hAnsiTheme="minorHAnsi"/>
          <w:b/>
        </w:rPr>
        <w:t>para a empresa que optar pelo regime tributário de LUCRO REAL ou PRESUMIDO</w:t>
      </w:r>
      <w:r>
        <w:rPr>
          <w:rFonts w:cs="Arial" w:ascii="Calibri" w:hAnsi="Calibri" w:asciiTheme="minorHAnsi" w:hAnsiTheme="minorHAnsi"/>
        </w:rPr>
        <w:t xml:space="preserve">, </w:t>
      </w:r>
      <w:r>
        <w:rPr>
          <w:rFonts w:cs="Arial" w:ascii="Calibri" w:hAnsi="Calibri" w:asciiTheme="minorHAnsi" w:hAnsiTheme="minorHAnsi"/>
          <w:b/>
        </w:rPr>
        <w:t>já que estão contidos no lucro bruto apresentado na proposta</w:t>
      </w:r>
      <w:r>
        <w:rPr>
          <w:rFonts w:cs="Arial" w:ascii="Calibri" w:hAnsi="Calibri" w:asciiTheme="minorHAnsi" w:hAnsiTheme="minorHAnsi"/>
        </w:rPr>
        <w:t xml:space="preserve"> e em virtude da determinação contida na Súmula do TCU nº 254, Acórdão TCU nº 1591/2008 – Plenário, Acórdão TCU nº 264/2012 – Plenário e Informativo  de Jurisprudência TCU nº 279.</w:t>
      </w:r>
    </w:p>
    <w:p>
      <w:pPr>
        <w:pStyle w:val="Normal"/>
        <w:spacing w:lineRule="auto" w:line="276"/>
        <w:jc w:val="both"/>
        <w:rPr>
          <w:rFonts w:ascii="Calibri" w:hAnsi="Calibri" w:cs="Arial" w:asciiTheme="minorHAnsi" w:hAnsiTheme="minorHAnsi"/>
          <w:b/>
          <w:b/>
        </w:rPr>
      </w:pPr>
      <w:r>
        <w:rPr>
          <w:rFonts w:cs="Arial" w:ascii="Calibri" w:hAnsi="Calibri"/>
          <w:b/>
        </w:rPr>
      </w:r>
    </w:p>
    <w:p>
      <w:pPr>
        <w:pStyle w:val="Normal"/>
        <w:shd w:val="clear" w:color="auto" w:fill="FFFFFF"/>
        <w:jc w:val="both"/>
        <w:rPr>
          <w:rFonts w:ascii="Calibri" w:hAnsi="Calibri" w:cs="Arial" w:asciiTheme="minorHAnsi" w:hAnsiTheme="minorHAnsi"/>
        </w:rPr>
      </w:pPr>
      <w:r>
        <w:rPr>
          <w:rFonts w:cs="Arial" w:ascii="Calibri" w:hAnsi="Calibri" w:asciiTheme="minorHAnsi" w:hAnsiTheme="minorHAnsi"/>
          <w:b/>
          <w:bCs/>
        </w:rPr>
        <w:t>O preço ofertado pelos licitantes deve ser comprovadamente suficiente para cumprir suas obrigações legais, sociais e </w:t>
      </w:r>
      <w:r>
        <w:rPr>
          <w:rFonts w:cs="Arial" w:ascii="Calibri" w:hAnsi="Calibri" w:asciiTheme="minorHAnsi" w:hAnsiTheme="minorHAnsi"/>
          <w:b/>
          <w:bCs/>
          <w:u w:val="single"/>
        </w:rPr>
        <w:t>tributárias.</w:t>
      </w:r>
      <w:r>
        <w:rPr>
          <w:rFonts w:cs="Arial" w:ascii="Calibri" w:hAnsi="Calibri" w:asciiTheme="minorHAnsi" w:hAnsiTheme="minorHAnsi"/>
          <w:b/>
          <w:bCs/>
        </w:rPr>
        <w:t> O estado não pode contratar quem apresentar PCFP que demonstre que a contratação ensejará operar em prejuízo. Este é o conceito de inexequibilidade previsto no subitem 9.2 do Anexo VII-A da IN 05/2017 da SEGES/MP.</w:t>
      </w:r>
    </w:p>
    <w:p>
      <w:pPr>
        <w:pStyle w:val="Normal"/>
        <w:spacing w:lineRule="auto" w:line="276"/>
        <w:jc w:val="both"/>
        <w:rPr>
          <w:rFonts w:ascii="Calibri" w:hAnsi="Calibri" w:cs="Arial" w:asciiTheme="minorHAnsi" w:hAnsiTheme="minorHAnsi"/>
        </w:rPr>
      </w:pPr>
      <w:r>
        <w:rPr>
          <w:rFonts w:cs="Arial" w:ascii="Calibri" w:hAnsi="Calibri"/>
        </w:rPr>
      </w:r>
    </w:p>
    <w:p>
      <w:pPr>
        <w:pStyle w:val="Normal"/>
        <w:shd w:val="clear" w:color="auto" w:fill="FFFFFF"/>
        <w:spacing w:lineRule="auto" w:line="276"/>
        <w:rPr>
          <w:rFonts w:ascii="Calibri" w:hAnsi="Calibri" w:eastAsia="Lucida Sans Unicode"/>
          <w:kern w:val="2"/>
        </w:rPr>
      </w:pPr>
      <w:r>
        <w:rPr>
          <w:rFonts w:cs="Arial" w:ascii="Arial" w:hAnsi="Arial"/>
          <w:color w:val="222222"/>
        </w:rPr>
        <w:t> </w:t>
      </w:r>
      <w:r>
        <w:rPr>
          <w:rFonts w:eastAsia="Lucida Sans Unicode" w:ascii="Calibri" w:hAnsi="Calibri"/>
          <w:kern w:val="2"/>
        </w:rPr>
        <w:t xml:space="preserve">A LICITANTE deverá </w:t>
      </w:r>
      <w:r>
        <w:rPr>
          <w:rFonts w:eastAsia="Lucida Sans Unicode" w:ascii="Calibri" w:hAnsi="Calibri"/>
          <w:b/>
          <w:kern w:val="2"/>
        </w:rPr>
        <w:t>comprovar, por meio de documentação hábil (DCTF, GFIP, EFD etc), a opção aos regimes acima elencados</w:t>
      </w:r>
      <w:r>
        <w:rPr>
          <w:rFonts w:eastAsia="Lucida Sans Unicode" w:ascii="Calibri" w:hAnsi="Calibri"/>
          <w:kern w:val="2"/>
        </w:rPr>
        <w:t xml:space="preserve">, a fim de que se possa </w:t>
      </w:r>
      <w:r>
        <w:rPr>
          <w:rFonts w:eastAsia="Lucida Sans Unicode" w:ascii="Calibri" w:hAnsi="Calibri"/>
          <w:b/>
          <w:kern w:val="2"/>
        </w:rPr>
        <w:t>certificar que as alíquotas do PIS e da COFINS e da Contribuição Social</w:t>
      </w:r>
      <w:r>
        <w:rPr>
          <w:rFonts w:eastAsia="Lucida Sans Unicode" w:ascii="Calibri" w:hAnsi="Calibri"/>
          <w:kern w:val="2"/>
        </w:rPr>
        <w:t xml:space="preserve"> </w:t>
      </w:r>
      <w:r>
        <w:rPr>
          <w:rFonts w:eastAsia="Lucida Sans Unicode" w:ascii="Calibri" w:hAnsi="Calibri"/>
          <w:b/>
          <w:kern w:val="2"/>
        </w:rPr>
        <w:t>consignadas na planilha conferem com sua opção tributária</w:t>
      </w:r>
      <w:r>
        <w:rPr>
          <w:rFonts w:eastAsia="Lucida Sans Unicode" w:ascii="Calibri" w:hAnsi="Calibri"/>
          <w:kern w:val="2"/>
        </w:rPr>
        <w:t>.</w:t>
      </w:r>
    </w:p>
    <w:p>
      <w:pPr>
        <w:pStyle w:val="Normal"/>
        <w:widowControl w:val="false"/>
        <w:tabs>
          <w:tab w:val="clear" w:pos="708"/>
          <w:tab w:val="left" w:pos="1560" w:leader="none"/>
        </w:tabs>
        <w:spacing w:lineRule="auto" w:line="276"/>
        <w:ind w:left="1224" w:hanging="0"/>
        <w:jc w:val="both"/>
        <w:rPr>
          <w:rFonts w:ascii="Calibri" w:hAnsi="Calibri" w:eastAsia="Lucida Sans Unicode"/>
          <w:kern w:val="2"/>
        </w:rPr>
      </w:pPr>
      <w:r>
        <w:rPr>
          <w:rFonts w:eastAsia="Lucida Sans Unicode" w:ascii="Calibri" w:hAnsi="Calibri"/>
          <w:kern w:val="2"/>
        </w:rPr>
      </w:r>
    </w:p>
    <w:p>
      <w:pPr>
        <w:pStyle w:val="Normal"/>
        <w:widowControl w:val="false"/>
        <w:tabs>
          <w:tab w:val="clear" w:pos="708"/>
          <w:tab w:val="left" w:pos="1560" w:leader="none"/>
        </w:tabs>
        <w:spacing w:lineRule="auto" w:line="276"/>
        <w:jc w:val="both"/>
        <w:rPr>
          <w:rFonts w:ascii="Calibri" w:hAnsi="Calibri" w:eastAsia="Lucida Sans Unicode"/>
          <w:kern w:val="2"/>
        </w:rPr>
      </w:pPr>
      <w:r>
        <w:rPr>
          <w:rFonts w:eastAsia="Lucida Sans Unicode" w:ascii="Calibri" w:hAnsi="Calibri"/>
          <w:kern w:val="2"/>
        </w:rPr>
        <w:t xml:space="preserve">As </w:t>
      </w:r>
      <w:r>
        <w:rPr>
          <w:rFonts w:eastAsia="Lucida Sans Unicode" w:ascii="Calibri" w:hAnsi="Calibri"/>
          <w:b/>
          <w:kern w:val="2"/>
        </w:rPr>
        <w:t>empresas tributadas pelo regime de incidência</w:t>
      </w:r>
      <w:r>
        <w:rPr>
          <w:rFonts w:eastAsia="Lucida Sans Unicode" w:ascii="Calibri" w:hAnsi="Calibri"/>
          <w:kern w:val="2"/>
        </w:rPr>
        <w:t xml:space="preserve"> </w:t>
      </w:r>
      <w:r>
        <w:rPr>
          <w:rFonts w:eastAsia="Lucida Sans Unicode" w:ascii="Calibri" w:hAnsi="Calibri"/>
          <w:b/>
          <w:kern w:val="2"/>
          <w:u w:val="single"/>
        </w:rPr>
        <w:t>não-cumulativa</w:t>
      </w:r>
      <w:r>
        <w:rPr>
          <w:rFonts w:eastAsia="Lucida Sans Unicode" w:ascii="Calibri" w:hAnsi="Calibri"/>
          <w:kern w:val="2"/>
        </w:rPr>
        <w:t xml:space="preserve"> de </w:t>
      </w:r>
      <w:r>
        <w:rPr>
          <w:rFonts w:eastAsia="Lucida Sans Unicode" w:ascii="Calibri" w:hAnsi="Calibri"/>
          <w:b/>
          <w:kern w:val="2"/>
        </w:rPr>
        <w:t>PIS</w:t>
      </w:r>
      <w:r>
        <w:rPr>
          <w:rFonts w:eastAsia="Lucida Sans Unicode" w:ascii="Calibri" w:hAnsi="Calibri"/>
          <w:kern w:val="2"/>
        </w:rPr>
        <w:t xml:space="preserve"> e </w:t>
      </w:r>
      <w:r>
        <w:rPr>
          <w:rFonts w:eastAsia="Lucida Sans Unicode" w:ascii="Calibri" w:hAnsi="Calibri"/>
          <w:b/>
          <w:kern w:val="2"/>
        </w:rPr>
        <w:t>COFINS</w:t>
      </w:r>
      <w:r>
        <w:rPr>
          <w:rFonts w:eastAsia="Lucida Sans Unicode" w:ascii="Calibri" w:hAnsi="Calibri"/>
          <w:kern w:val="2"/>
        </w:rPr>
        <w:t xml:space="preserve"> devem cotar </w:t>
      </w:r>
      <w:r>
        <w:rPr>
          <w:rFonts w:eastAsia="Lucida Sans Unicode" w:ascii="Calibri" w:hAnsi="Calibri"/>
          <w:b/>
          <w:kern w:val="2"/>
          <w:u w:val="single"/>
        </w:rPr>
        <w:t>os percentuais que representem a média das alíquotas efetivamente recolhidas nos 12 (doze) meses anteriores à apresentação da proposta</w:t>
      </w:r>
      <w:r>
        <w:rPr>
          <w:rFonts w:eastAsia="Lucida Sans Unicode" w:ascii="Calibri" w:hAnsi="Calibri"/>
          <w:kern w:val="2"/>
        </w:rPr>
        <w:t xml:space="preserve">, tendo em vista que as Leis 10.637/2002 e 10.833/2003, apurada com base nos dados da </w:t>
      </w:r>
      <w:r>
        <w:rPr>
          <w:rFonts w:eastAsia="Lucida Sans Unicode" w:ascii="Calibri" w:hAnsi="Calibri"/>
          <w:b/>
          <w:kern w:val="2"/>
        </w:rPr>
        <w:t>Escrituração Fiscal Digital da Contribuição para o PIS/PASEP e para a COFINS (EFD-Contribuições)</w:t>
      </w:r>
      <w:r>
        <w:rPr>
          <w:rFonts w:eastAsia="Lucida Sans Unicode" w:ascii="Calibri" w:hAnsi="Calibri"/>
          <w:kern w:val="2"/>
        </w:rPr>
        <w:t xml:space="preserve">, cujos respectivos </w:t>
      </w:r>
      <w:r>
        <w:rPr>
          <w:rFonts w:eastAsia="Lucida Sans Unicode" w:ascii="Calibri" w:hAnsi="Calibri"/>
          <w:b/>
          <w:kern w:val="2"/>
          <w:u w:val="single"/>
        </w:rPr>
        <w:t>registros deverão ser remetidos juntamente com a proposta e as planilhas</w:t>
      </w:r>
      <w:r>
        <w:rPr>
          <w:rFonts w:eastAsia="Lucida Sans Unicode" w:ascii="Calibri" w:hAnsi="Calibri"/>
          <w:kern w:val="2"/>
        </w:rPr>
        <w:t>.</w:t>
      </w:r>
    </w:p>
    <w:p>
      <w:pPr>
        <w:pStyle w:val="Normal"/>
        <w:widowControl w:val="false"/>
        <w:spacing w:lineRule="auto" w:line="276"/>
        <w:ind w:left="708" w:hanging="0"/>
        <w:rPr>
          <w:rFonts w:ascii="Calibri" w:hAnsi="Calibri" w:eastAsia="Lucida Sans Unicode"/>
          <w:kern w:val="2"/>
        </w:rPr>
      </w:pPr>
      <w:r>
        <w:rPr>
          <w:rFonts w:eastAsia="Lucida Sans Unicode" w:ascii="Calibri" w:hAnsi="Calibri"/>
          <w:kern w:val="2"/>
        </w:rPr>
      </w:r>
    </w:p>
    <w:p>
      <w:pPr>
        <w:pStyle w:val="Normal"/>
        <w:widowControl w:val="false"/>
        <w:tabs>
          <w:tab w:val="clear" w:pos="708"/>
          <w:tab w:val="left" w:pos="1560" w:leader="none"/>
        </w:tabs>
        <w:spacing w:lineRule="auto" w:line="276"/>
        <w:jc w:val="both"/>
        <w:rPr>
          <w:rFonts w:ascii="Calibri" w:hAnsi="Calibri" w:eastAsia="Lucida Sans Unicode"/>
          <w:kern w:val="2"/>
        </w:rPr>
      </w:pPr>
      <w:r>
        <w:rPr>
          <w:rFonts w:eastAsia="Lucida Sans Unicode" w:ascii="Calibri" w:hAnsi="Calibri"/>
          <w:kern w:val="2"/>
        </w:rPr>
        <w:t xml:space="preserve">Caso a LICITANTE tenha </w:t>
      </w:r>
      <w:r>
        <w:rPr>
          <w:rFonts w:eastAsia="Lucida Sans Unicode" w:ascii="Calibri" w:hAnsi="Calibri"/>
          <w:b/>
          <w:kern w:val="2"/>
        </w:rPr>
        <w:t>recolhido tributos pelo regime de incidência não-cumulativa</w:t>
      </w:r>
      <w:r>
        <w:rPr>
          <w:rFonts w:eastAsia="Lucida Sans Unicode" w:ascii="Calibri" w:hAnsi="Calibri"/>
          <w:kern w:val="2"/>
        </w:rPr>
        <w:t xml:space="preserve"> em apenas </w:t>
      </w:r>
      <w:r>
        <w:rPr>
          <w:rFonts w:eastAsia="Lucida Sans Unicode" w:ascii="Calibri" w:hAnsi="Calibri"/>
          <w:b/>
          <w:kern w:val="2"/>
        </w:rPr>
        <w:t>alguns meses do período que deve ser considerado para o cálculo do percentual médio efetivo</w:t>
      </w:r>
      <w:r>
        <w:rPr>
          <w:rFonts w:eastAsia="Lucida Sans Unicode" w:ascii="Calibri" w:hAnsi="Calibri"/>
          <w:kern w:val="2"/>
        </w:rPr>
        <w:t xml:space="preserve"> (12 meses anteriores à data da proposta), poderá apresentar o cálculo </w:t>
      </w:r>
      <w:r>
        <w:rPr>
          <w:rFonts w:eastAsia="Lucida Sans Unicode" w:ascii="Calibri" w:hAnsi="Calibri"/>
          <w:b/>
          <w:kern w:val="2"/>
        </w:rPr>
        <w:t>considerando apenas os meses em que houve recolhimento</w:t>
      </w:r>
      <w:r>
        <w:rPr>
          <w:rFonts w:eastAsia="Lucida Sans Unicode" w:ascii="Calibri" w:hAnsi="Calibri"/>
          <w:kern w:val="2"/>
        </w:rPr>
        <w:t>.</w:t>
      </w:r>
    </w:p>
    <w:p>
      <w:pPr>
        <w:pStyle w:val="Normal"/>
        <w:spacing w:lineRule="auto" w:line="276"/>
        <w:jc w:val="both"/>
        <w:rPr>
          <w:rFonts w:ascii="Calibri" w:hAnsi="Calibri" w:eastAsia="Calibri" w:asciiTheme="minorHAnsi" w:eastAsiaTheme="minorHAnsi" w:hAnsiTheme="minorHAnsi"/>
          <w:lang w:eastAsia="en-US"/>
        </w:rPr>
      </w:pPr>
      <w:r>
        <w:rPr>
          <w:rFonts w:eastAsia="Calibri" w:eastAsiaTheme="minorHAnsi" w:ascii="Calibri" w:hAnsi="Calibri"/>
          <w:lang w:eastAsia="en-US"/>
        </w:rPr>
      </w:r>
    </w:p>
    <w:p>
      <w:pPr>
        <w:pStyle w:val="Normal"/>
        <w:spacing w:lineRule="auto" w:line="276"/>
        <w:jc w:val="both"/>
        <w:rPr>
          <w:rFonts w:ascii="Calibri" w:hAnsi="Calibri" w:eastAsia="Calibri" w:asciiTheme="minorHAnsi" w:eastAsiaTheme="minorHAnsi" w:hAnsiTheme="minorHAnsi"/>
          <w:lang w:eastAsia="en-US"/>
        </w:rPr>
      </w:pPr>
      <w:r>
        <w:rPr>
          <w:rFonts w:eastAsia="Calibri" w:eastAsiaTheme="minorHAnsi" w:ascii="Calibri" w:hAnsi="Calibri"/>
          <w:lang w:eastAsia="en-US"/>
        </w:rPr>
      </w:r>
    </w:p>
    <w:p>
      <w:pPr>
        <w:pStyle w:val="Normal"/>
        <w:rPr>
          <w:rFonts w:ascii="Calibri" w:hAnsi="Calibri" w:eastAsia="Calibri" w:cs="Arial" w:eastAsiaTheme="minorHAnsi"/>
          <w:lang w:eastAsia="en-US"/>
        </w:rPr>
      </w:pPr>
      <w:r>
        <w:rPr>
          <w:rFonts w:eastAsia="Calibri" w:cs="Arial" w:eastAsiaTheme="minorHAnsi" w:ascii="Calibri" w:hAnsi="Calibri"/>
          <w:lang w:eastAsia="en-US"/>
        </w:rPr>
      </w:r>
    </w:p>
    <w:p>
      <w:pPr>
        <w:pStyle w:val="Normal"/>
        <w:shd w:val="clear" w:color="auto" w:fill="FFFFFF" w:themeFill="background1"/>
        <w:spacing w:lineRule="auto" w:line="276"/>
        <w:jc w:val="both"/>
        <w:rPr>
          <w:rFonts w:ascii="Calibri" w:hAnsi="Calibri" w:cs="Arial" w:asciiTheme="minorHAnsi" w:hAnsiTheme="minorHAnsi"/>
        </w:rPr>
      </w:pPr>
      <w:r>
        <w:rPr>
          <w:rFonts w:cs="Arial" w:ascii="Calibri" w:hAnsi="Calibri"/>
        </w:rPr>
      </w:r>
    </w:p>
    <w:p>
      <w:pPr>
        <w:pStyle w:val="Normal"/>
        <w:rPr/>
      </w:pPr>
      <w:r>
        <w:rPr/>
      </w:r>
    </w:p>
    <w:sectPr>
      <w:headerReference w:type="default" r:id="rId8"/>
      <w:footerReference w:type="default" r:id="rId9"/>
      <w:footnotePr>
        <w:numFmt w:val="decimal"/>
      </w:footnotePr>
      <w:type w:val="nextPage"/>
      <w:pgSz w:w="11906" w:h="16838"/>
      <w:pgMar w:left="1418" w:right="1274" w:header="708" w:top="1417" w:footer="306" w:bottom="1417" w:gutter="0"/>
      <w:pgBorders w:display="allPages" w:offsetFrom="page">
        <w:top w:val="single" w:sz="18" w:space="24" w:color="000000"/>
        <w:left w:val="single" w:sz="18" w:space="24" w:color="000000"/>
        <w:bottom w:val="single" w:sz="18" w:space="13" w:color="000000"/>
        <w:right w:val="single" w:sz="18" w:space="24" w:color="000000"/>
      </w:pgBorders>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Symbol">
    <w:charset w:val="00"/>
    <w:family w:val="roman"/>
    <w:pitch w:val="variable"/>
  </w:font>
  <w:font w:name="Courier New">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Book Antiqua">
    <w:charset w:val="00"/>
    <w:family w:val="roman"/>
    <w:pitch w:val="variable"/>
  </w:font>
  <w:font w:name="Verdan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t>____________________________________________________________________</w:t>
    </w:r>
  </w:p>
  <w:p>
    <w:pPr>
      <w:pStyle w:val="Rodap"/>
      <w:jc w:val="center"/>
      <w:rPr/>
    </w:pPr>
    <w:r>
      <w:rPr>
        <w:sz w:val="12"/>
        <w:szCs w:val="12"/>
      </w:rPr>
      <w:t>Anexo III-B Memória de Cálculo Item 2</w:t>
      <w:tab/>
      <w:tab/>
    </w:r>
    <w:r>
      <w:rPr>
        <w:rFonts w:ascii="Verdana" w:hAnsi="Verdana"/>
        <w:sz w:val="16"/>
        <w:szCs w:val="16"/>
      </w:rPr>
      <w:t xml:space="preserve">Pág. </w:t>
    </w:r>
    <w:r>
      <w:rPr>
        <w:rStyle w:val="Pagenumber"/>
        <w:rFonts w:eastAsia="MS Gothic" w:ascii="Verdana" w:hAnsi="Verdana"/>
        <w:sz w:val="16"/>
        <w:szCs w:val="16"/>
      </w:rPr>
      <w:fldChar w:fldCharType="begin"/>
    </w:r>
    <w:r>
      <w:rPr>
        <w:rStyle w:val="Pagenumber"/>
        <w:sz w:val="16"/>
        <w:szCs w:val="16"/>
        <w:rFonts w:eastAsia="MS Gothic" w:ascii="Verdana" w:hAnsi="Verdana"/>
      </w:rPr>
      <w:instrText> PAGE </w:instrText>
    </w:r>
    <w:r>
      <w:rPr>
        <w:rStyle w:val="Pagenumber"/>
        <w:sz w:val="16"/>
        <w:szCs w:val="16"/>
        <w:rFonts w:eastAsia="MS Gothic" w:ascii="Verdana" w:hAnsi="Verdana"/>
      </w:rPr>
      <w:fldChar w:fldCharType="separate"/>
    </w:r>
    <w:r>
      <w:rPr>
        <w:rStyle w:val="Pagenumber"/>
        <w:sz w:val="16"/>
        <w:szCs w:val="16"/>
        <w:rFonts w:eastAsia="MS Gothic" w:ascii="Verdana" w:hAnsi="Verdana"/>
      </w:rPr>
      <w:t>11</w:t>
    </w:r>
    <w:r>
      <w:rPr>
        <w:rStyle w:val="Pagenumber"/>
        <w:sz w:val="16"/>
        <w:szCs w:val="16"/>
        <w:rFonts w:eastAsia="MS Gothic" w:ascii="Verdana" w:hAnsi="Verdana"/>
      </w:rPr>
      <w:fldChar w:fldCharType="end"/>
    </w:r>
    <w:r>
      <w:rPr>
        <w:rStyle w:val="Pagenumber"/>
        <w:rFonts w:eastAsia="MS Gothic" w:ascii="Verdana" w:hAnsi="Verdana"/>
        <w:sz w:val="16"/>
        <w:szCs w:val="16"/>
      </w:rPr>
      <w:t>/</w:t>
    </w:r>
    <w:r>
      <w:rPr>
        <w:rStyle w:val="Pagenumber"/>
        <w:rFonts w:eastAsia="MS Gothic" w:ascii="Verdana" w:hAnsi="Verdana"/>
        <w:sz w:val="16"/>
        <w:szCs w:val="16"/>
      </w:rPr>
      <w:fldChar w:fldCharType="begin"/>
    </w:r>
    <w:r>
      <w:rPr>
        <w:rStyle w:val="Pagenumber"/>
        <w:sz w:val="16"/>
        <w:szCs w:val="16"/>
        <w:rFonts w:eastAsia="MS Gothic" w:ascii="Verdana" w:hAnsi="Verdana"/>
      </w:rPr>
      <w:instrText> NUMPAGES </w:instrText>
    </w:r>
    <w:r>
      <w:rPr>
        <w:rStyle w:val="Pagenumber"/>
        <w:sz w:val="16"/>
        <w:szCs w:val="16"/>
        <w:rFonts w:eastAsia="MS Gothic" w:ascii="Verdana" w:hAnsi="Verdana"/>
      </w:rPr>
      <w:fldChar w:fldCharType="separate"/>
    </w:r>
    <w:r>
      <w:rPr>
        <w:rStyle w:val="Pagenumber"/>
        <w:sz w:val="16"/>
        <w:szCs w:val="16"/>
        <w:rFonts w:eastAsia="MS Gothic" w:ascii="Verdana" w:hAnsi="Verdana"/>
      </w:rPr>
      <w:t>11</w:t>
    </w:r>
    <w:r>
      <w:rPr>
        <w:rStyle w:val="Pagenumber"/>
        <w:sz w:val="16"/>
        <w:szCs w:val="16"/>
        <w:rFonts w:eastAsia="MS Gothic" w:ascii="Verdana" w:hAnsi="Verdana"/>
      </w:rPr>
      <w:fldChar w:fldCharType="end"/>
    </w:r>
  </w:p>
  <w:p>
    <w:pPr>
      <w:pStyle w:val="Rodap"/>
      <w:rPr>
        <w:sz w:val="12"/>
        <w:szCs w:val="12"/>
      </w:rPr>
    </w:pPr>
    <w:r>
      <w:rPr>
        <w:sz w:val="12"/>
        <w:szCs w:val="12"/>
      </w:rPr>
    </w:r>
  </w:p>
  <w:p>
    <w:pPr>
      <w:pStyle w:val="Rodap"/>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derodap"/>
        <w:rPr/>
      </w:pPr>
      <w:r>
        <w:rPr>
          <w:rStyle w:val="Caracteresdenotaderodap"/>
        </w:rPr>
        <w:footnoteRef/>
      </w:r>
      <w:r>
        <w:rPr/>
        <w:t xml:space="preserve"> </w:t>
      </w:r>
      <w:r>
        <w:rPr/>
        <w:t xml:space="preserve">Considerando a alíquota de 3% para o RAT.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right"/>
      <w:rPr>
        <w:rFonts w:ascii="Calibri" w:hAnsi="Calibri" w:asciiTheme="minorHAnsi" w:hAnsiTheme="minorHAnsi"/>
        <w:sz w:val="16"/>
        <w:szCs w:val="16"/>
      </w:rPr>
    </w:pPr>
    <w:r>
      <w:drawing>
        <wp:anchor behindDoc="1" distT="0" distB="0" distL="0" distR="0" simplePos="0" locked="0" layoutInCell="1" allowOverlap="1" relativeHeight="12">
          <wp:simplePos x="0" y="0"/>
          <wp:positionH relativeFrom="column">
            <wp:posOffset>-305435</wp:posOffset>
          </wp:positionH>
          <wp:positionV relativeFrom="paragraph">
            <wp:posOffset>-57150</wp:posOffset>
          </wp:positionV>
          <wp:extent cx="838200" cy="333375"/>
          <wp:effectExtent l="0" t="0" r="0" b="0"/>
          <wp:wrapNone/>
          <wp:docPr id="10" name="Imagem 2" descr="BRASAO UF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2" descr="BRASAO UFF2"/>
                  <pic:cNvPicPr>
                    <a:picLocks noChangeAspect="1" noChangeArrowheads="1"/>
                  </pic:cNvPicPr>
                </pic:nvPicPr>
                <pic:blipFill>
                  <a:blip r:embed="rId1"/>
                  <a:stretch>
                    <a:fillRect/>
                  </a:stretch>
                </pic:blipFill>
                <pic:spPr bwMode="auto">
                  <a:xfrm>
                    <a:off x="0" y="0"/>
                    <a:ext cx="838200" cy="333375"/>
                  </a:xfrm>
                  <a:prstGeom prst="rect">
                    <a:avLst/>
                  </a:prstGeom>
                </pic:spPr>
              </pic:pic>
            </a:graphicData>
          </a:graphic>
        </wp:anchor>
      </w:drawing>
    </w:r>
    <w:r>
      <w:rPr>
        <w:rFonts w:ascii="Calibri" w:hAnsi="Calibri" w:asciiTheme="minorHAnsi" w:hAnsiTheme="minorHAnsi"/>
        <w:sz w:val="16"/>
        <w:szCs w:val="16"/>
      </w:rPr>
      <w:t>P</w:t>
    </w:r>
    <w:r>
      <w:rPr>
        <w:rFonts w:ascii="Calibri" w:hAnsi="Calibri" w:asciiTheme="minorHAnsi" w:hAnsiTheme="minorHAnsi"/>
        <w:sz w:val="16"/>
        <w:szCs w:val="16"/>
      </w:rPr>
      <w:t>rocesso: 23069.000657/2020-30</w:t>
    </w:r>
  </w:p>
  <w:p>
    <w:pPr>
      <w:pStyle w:val="Cabealho"/>
      <w:jc w:val="right"/>
      <w:rPr>
        <w:rFonts w:ascii="Calibri" w:hAnsi="Calibri" w:asciiTheme="minorHAnsi" w:hAnsiTheme="minorHAnsi"/>
        <w:sz w:val="16"/>
        <w:szCs w:val="16"/>
      </w:rPr>
    </w:pPr>
    <w:r>
      <w:rPr>
        <w:rFonts w:ascii="Calibri" w:hAnsi="Calibri" w:asciiTheme="minorHAnsi" w:hAnsiTheme="minorHAnsi"/>
        <w:sz w:val="16"/>
        <w:szCs w:val="16"/>
      </w:rPr>
      <w:t>Pag.:_____</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6a36"/>
    <w:pPr>
      <w:widowControl/>
      <w:bidi w:val="0"/>
      <w:jc w:val="left"/>
    </w:pPr>
    <w:rPr>
      <w:rFonts w:ascii="Times New Roman" w:hAnsi="Times New Roman" w:eastAsia="Times New Roman" w:cs="Times New Roman"/>
      <w:color w:val="auto"/>
      <w:kern w:val="0"/>
      <w:sz w:val="20"/>
      <w:szCs w:val="20"/>
      <w:lang w:eastAsia="pt-BR" w:val="pt-BR" w:bidi="ar-SA"/>
    </w:rPr>
  </w:style>
  <w:style w:type="paragraph" w:styleId="Ttulo1">
    <w:name w:val="Heading 1"/>
    <w:basedOn w:val="Normal"/>
    <w:next w:val="Normal"/>
    <w:link w:val="Ttulo1Char"/>
    <w:uiPriority w:val="9"/>
    <w:qFormat/>
    <w:rsid w:val="00e5179a"/>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Ttulo2">
    <w:name w:val="Heading 2"/>
    <w:basedOn w:val="Normal"/>
    <w:next w:val="Normal"/>
    <w:link w:val="Ttulo2Char"/>
    <w:uiPriority w:val="9"/>
    <w:semiHidden/>
    <w:unhideWhenUsed/>
    <w:qFormat/>
    <w:rsid w:val="00456441"/>
    <w:pPr>
      <w:keepNext w:val="true"/>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paragraph" w:styleId="Ttulo4">
    <w:name w:val="Heading 4"/>
    <w:basedOn w:val="Normal"/>
    <w:next w:val="Normal"/>
    <w:link w:val="Ttulo4Char"/>
    <w:uiPriority w:val="9"/>
    <w:semiHidden/>
    <w:unhideWhenUsed/>
    <w:qFormat/>
    <w:rsid w:val="00e81b5f"/>
    <w:pPr>
      <w:keepNext w:val="true"/>
      <w:keepLines/>
      <w:spacing w:before="40" w:after="0"/>
      <w:outlineLvl w:val="3"/>
    </w:pPr>
    <w:rPr>
      <w:rFonts w:ascii="Cambria" w:hAnsi="Cambria" w:eastAsia="" w:cs="" w:asciiTheme="majorHAnsi" w:cstheme="majorBidi" w:eastAsiaTheme="majorEastAsia" w:hAnsiTheme="majorHAnsi"/>
      <w:i/>
      <w:iCs/>
      <w:color w:val="365F91" w:themeColor="accent1" w:themeShade="bf"/>
    </w:rPr>
  </w:style>
  <w:style w:type="paragraph" w:styleId="Ttulo7">
    <w:name w:val="Heading 7"/>
    <w:basedOn w:val="Normal"/>
    <w:next w:val="Normal"/>
    <w:link w:val="Ttulo7Char"/>
    <w:qFormat/>
    <w:rsid w:val="00ad6a36"/>
    <w:pPr>
      <w:keepNext w:val="true"/>
      <w:jc w:val="center"/>
      <w:outlineLvl w:val="6"/>
    </w:pPr>
    <w:rPr>
      <w:rFonts w:ascii="Arial" w:hAnsi="Arial"/>
      <w:b/>
      <w:sz w:val="28"/>
      <w:u w:val="single"/>
      <w:lang w:val="pt-PT"/>
    </w:rPr>
  </w:style>
  <w:style w:type="character" w:styleId="DefaultParagraphFont" w:default="1">
    <w:name w:val="Default Paragraph Font"/>
    <w:uiPriority w:val="1"/>
    <w:semiHidden/>
    <w:unhideWhenUsed/>
    <w:qFormat/>
    <w:rPr/>
  </w:style>
  <w:style w:type="character" w:styleId="Ttulo7Char" w:customStyle="1">
    <w:name w:val="Título 7 Char"/>
    <w:basedOn w:val="DefaultParagraphFont"/>
    <w:link w:val="Ttulo7"/>
    <w:qFormat/>
    <w:rsid w:val="00ad6a36"/>
    <w:rPr>
      <w:rFonts w:ascii="Arial" w:hAnsi="Arial" w:eastAsia="Times New Roman" w:cs="Times New Roman"/>
      <w:b/>
      <w:sz w:val="28"/>
      <w:szCs w:val="20"/>
      <w:u w:val="single"/>
      <w:lang w:val="pt-PT"/>
    </w:rPr>
  </w:style>
  <w:style w:type="character" w:styleId="RecuodecorpodetextoChar" w:customStyle="1">
    <w:name w:val="Recuo de corpo de texto Char"/>
    <w:basedOn w:val="DefaultParagraphFont"/>
    <w:link w:val="Recuodecorpodetexto"/>
    <w:qFormat/>
    <w:rsid w:val="00ad6a36"/>
    <w:rPr>
      <w:rFonts w:ascii="Times New Roman" w:hAnsi="Times New Roman" w:eastAsia="Times New Roman" w:cs="Times New Roman"/>
      <w:sz w:val="20"/>
      <w:szCs w:val="20"/>
      <w:lang w:eastAsia="pt-BR"/>
    </w:rPr>
  </w:style>
  <w:style w:type="character" w:styleId="Recuodecorpodetexto2Char" w:customStyle="1">
    <w:name w:val="Recuo de corpo de texto 2 Char"/>
    <w:basedOn w:val="DefaultParagraphFont"/>
    <w:link w:val="Recuodecorpodetexto2"/>
    <w:qFormat/>
    <w:rsid w:val="00ad6a36"/>
    <w:rPr>
      <w:rFonts w:ascii="Arial" w:hAnsi="Arial" w:eastAsia="Times New Roman" w:cs="Times New Roman"/>
      <w:b/>
      <w:sz w:val="20"/>
      <w:szCs w:val="20"/>
    </w:rPr>
  </w:style>
  <w:style w:type="character" w:styleId="TextodebaloChar" w:customStyle="1">
    <w:name w:val="Texto de balão Char"/>
    <w:basedOn w:val="DefaultParagraphFont"/>
    <w:link w:val="Textodebalo"/>
    <w:uiPriority w:val="99"/>
    <w:semiHidden/>
    <w:qFormat/>
    <w:rsid w:val="00ad6a36"/>
    <w:rPr>
      <w:rFonts w:ascii="Tahoma" w:hAnsi="Tahoma" w:eastAsia="Times New Roman" w:cs="Tahoma"/>
      <w:sz w:val="16"/>
      <w:szCs w:val="16"/>
      <w:lang w:eastAsia="pt-BR"/>
    </w:rPr>
  </w:style>
  <w:style w:type="character" w:styleId="CabealhoChar" w:customStyle="1">
    <w:name w:val="Cabeçalho Char"/>
    <w:basedOn w:val="DefaultParagraphFont"/>
    <w:link w:val="Cabealho"/>
    <w:uiPriority w:val="99"/>
    <w:qFormat/>
    <w:rsid w:val="00ad6a36"/>
    <w:rPr>
      <w:rFonts w:ascii="Times New Roman" w:hAnsi="Times New Roman" w:eastAsia="Times New Roman" w:cs="Times New Roman"/>
      <w:sz w:val="20"/>
      <w:szCs w:val="20"/>
      <w:lang w:eastAsia="pt-BR"/>
    </w:rPr>
  </w:style>
  <w:style w:type="character" w:styleId="RodapChar" w:customStyle="1">
    <w:name w:val="Rodapé Char"/>
    <w:basedOn w:val="DefaultParagraphFont"/>
    <w:link w:val="Rodap"/>
    <w:uiPriority w:val="99"/>
    <w:qFormat/>
    <w:rsid w:val="00ad6a36"/>
    <w:rPr>
      <w:rFonts w:ascii="Times New Roman" w:hAnsi="Times New Roman" w:eastAsia="Times New Roman" w:cs="Times New Roman"/>
      <w:sz w:val="20"/>
      <w:szCs w:val="20"/>
      <w:lang w:eastAsia="pt-BR"/>
    </w:rPr>
  </w:style>
  <w:style w:type="character" w:styleId="Ttulo1Char" w:customStyle="1">
    <w:name w:val="Título 1 Char"/>
    <w:basedOn w:val="DefaultParagraphFont"/>
    <w:link w:val="Ttulo1"/>
    <w:uiPriority w:val="9"/>
    <w:qFormat/>
    <w:rsid w:val="00e5179a"/>
    <w:rPr>
      <w:rFonts w:ascii="Cambria" w:hAnsi="Cambria" w:eastAsia="" w:cs="" w:asciiTheme="majorHAnsi" w:cstheme="majorBidi" w:eastAsiaTheme="majorEastAsia" w:hAnsiTheme="majorHAnsi"/>
      <w:b/>
      <w:bCs/>
      <w:color w:val="365F91" w:themeColor="accent1" w:themeShade="bf"/>
      <w:sz w:val="28"/>
      <w:szCs w:val="28"/>
      <w:lang w:eastAsia="pt-BR"/>
    </w:rPr>
  </w:style>
  <w:style w:type="character" w:styleId="Fontepargpadro6" w:customStyle="1">
    <w:name w:val="Fonte parág. padrão6"/>
    <w:qFormat/>
    <w:rsid w:val="00e5179a"/>
    <w:rPr/>
  </w:style>
  <w:style w:type="character" w:styleId="Ttulo2Char" w:customStyle="1">
    <w:name w:val="Título 2 Char"/>
    <w:basedOn w:val="DefaultParagraphFont"/>
    <w:link w:val="Ttulo2"/>
    <w:uiPriority w:val="9"/>
    <w:semiHidden/>
    <w:qFormat/>
    <w:rsid w:val="00456441"/>
    <w:rPr>
      <w:rFonts w:ascii="Cambria" w:hAnsi="Cambria" w:eastAsia="" w:cs="" w:asciiTheme="majorHAnsi" w:cstheme="majorBidi" w:eastAsiaTheme="majorEastAsia" w:hAnsiTheme="majorHAnsi"/>
      <w:color w:val="365F91" w:themeColor="accent1" w:themeShade="bf"/>
      <w:sz w:val="26"/>
      <w:szCs w:val="26"/>
      <w:lang w:eastAsia="pt-BR"/>
    </w:rPr>
  </w:style>
  <w:style w:type="character" w:styleId="Strong">
    <w:name w:val="Strong"/>
    <w:basedOn w:val="DefaultParagraphFont"/>
    <w:uiPriority w:val="22"/>
    <w:qFormat/>
    <w:rsid w:val="00456441"/>
    <w:rPr>
      <w:b/>
      <w:bCs/>
    </w:rPr>
  </w:style>
  <w:style w:type="character" w:styleId="Ttulo4Char" w:customStyle="1">
    <w:name w:val="Título 4 Char"/>
    <w:basedOn w:val="DefaultParagraphFont"/>
    <w:link w:val="Ttulo4"/>
    <w:uiPriority w:val="9"/>
    <w:semiHidden/>
    <w:qFormat/>
    <w:rsid w:val="00e81b5f"/>
    <w:rPr>
      <w:rFonts w:ascii="Cambria" w:hAnsi="Cambria" w:eastAsia="" w:cs="" w:asciiTheme="majorHAnsi" w:cstheme="majorBidi" w:eastAsiaTheme="majorEastAsia" w:hAnsiTheme="majorHAnsi"/>
      <w:i/>
      <w:iCs/>
      <w:color w:val="365F91" w:themeColor="accent1" w:themeShade="bf"/>
      <w:sz w:val="20"/>
      <w:szCs w:val="20"/>
      <w:lang w:eastAsia="pt-BR"/>
    </w:rPr>
  </w:style>
  <w:style w:type="character" w:styleId="Nfase">
    <w:name w:val="Ênfase"/>
    <w:basedOn w:val="DefaultParagraphFont"/>
    <w:uiPriority w:val="20"/>
    <w:qFormat/>
    <w:rsid w:val="00e81b5f"/>
    <w:rPr>
      <w:i/>
      <w:iCs/>
    </w:rPr>
  </w:style>
  <w:style w:type="character" w:styleId="LinkdaInternet">
    <w:name w:val="Link da Internet"/>
    <w:basedOn w:val="DefaultParagraphFont"/>
    <w:uiPriority w:val="99"/>
    <w:semiHidden/>
    <w:unhideWhenUsed/>
    <w:rsid w:val="003150ff"/>
    <w:rPr>
      <w:color w:val="0000FF"/>
      <w:u w:val="single"/>
    </w:rPr>
  </w:style>
  <w:style w:type="character" w:styleId="Qtiplink" w:customStyle="1">
    <w:name w:val="qtip-link"/>
    <w:basedOn w:val="DefaultParagraphFont"/>
    <w:qFormat/>
    <w:rsid w:val="00ef1583"/>
    <w:rPr/>
  </w:style>
  <w:style w:type="character" w:styleId="Annotationreference">
    <w:name w:val="annotation reference"/>
    <w:basedOn w:val="DefaultParagraphFont"/>
    <w:uiPriority w:val="99"/>
    <w:semiHidden/>
    <w:unhideWhenUsed/>
    <w:qFormat/>
    <w:rsid w:val="00f14b80"/>
    <w:rPr>
      <w:sz w:val="16"/>
      <w:szCs w:val="16"/>
    </w:rPr>
  </w:style>
  <w:style w:type="character" w:styleId="TextodecomentrioChar" w:customStyle="1">
    <w:name w:val="Texto de comentário Char"/>
    <w:basedOn w:val="DefaultParagraphFont"/>
    <w:link w:val="Textodecomentrio"/>
    <w:uiPriority w:val="99"/>
    <w:semiHidden/>
    <w:qFormat/>
    <w:rsid w:val="00f14b80"/>
    <w:rPr>
      <w:rFonts w:ascii="Times New Roman" w:hAnsi="Times New Roman" w:eastAsia="Times New Roman" w:cs="Times New Roman"/>
      <w:sz w:val="20"/>
      <w:szCs w:val="20"/>
      <w:lang w:eastAsia="pt-BR"/>
    </w:rPr>
  </w:style>
  <w:style w:type="character" w:styleId="AssuntodocomentrioChar" w:customStyle="1">
    <w:name w:val="Assunto do comentário Char"/>
    <w:basedOn w:val="TextodecomentrioChar"/>
    <w:link w:val="Assuntodocomentrio"/>
    <w:uiPriority w:val="99"/>
    <w:semiHidden/>
    <w:qFormat/>
    <w:rsid w:val="00f14b80"/>
    <w:rPr>
      <w:rFonts w:ascii="Times New Roman" w:hAnsi="Times New Roman" w:eastAsia="Times New Roman" w:cs="Times New Roman"/>
      <w:b/>
      <w:bCs/>
      <w:sz w:val="20"/>
      <w:szCs w:val="20"/>
      <w:lang w:eastAsia="pt-BR"/>
    </w:rPr>
  </w:style>
  <w:style w:type="character" w:styleId="M7892110431564642023ttulo2char" w:customStyle="1">
    <w:name w:val="m_7892110431564642023ttulo2char"/>
    <w:basedOn w:val="DefaultParagraphFont"/>
    <w:qFormat/>
    <w:rsid w:val="00da6a1c"/>
    <w:rPr/>
  </w:style>
  <w:style w:type="character" w:styleId="WW8Num5z3" w:customStyle="1">
    <w:name w:val="WW8Num5z3"/>
    <w:qFormat/>
    <w:rsid w:val="00891e6f"/>
    <w:rPr>
      <w:rFonts w:ascii="Symbol" w:hAnsi="Symbol" w:cs="Symbol"/>
    </w:rPr>
  </w:style>
  <w:style w:type="character" w:styleId="WW8Num5z4" w:customStyle="1">
    <w:name w:val="WW8Num5z4"/>
    <w:qFormat/>
    <w:rsid w:val="00891e6f"/>
    <w:rPr>
      <w:rFonts w:ascii="Courier New" w:hAnsi="Courier New" w:cs="Courier New"/>
    </w:rPr>
  </w:style>
  <w:style w:type="character" w:styleId="WW8Num6z0" w:customStyle="1">
    <w:name w:val="WW8Num6z0"/>
    <w:qFormat/>
    <w:rsid w:val="00891e6f"/>
    <w:rPr>
      <w:rFonts w:ascii="Times New Roman" w:hAnsi="Times New Roman" w:cs="Times New Roman"/>
    </w:rPr>
  </w:style>
  <w:style w:type="character" w:styleId="TextodenotaderodapChar" w:customStyle="1">
    <w:name w:val="Texto de nota de rodapé Char"/>
    <w:basedOn w:val="DefaultParagraphFont"/>
    <w:link w:val="Textodenotaderodap"/>
    <w:uiPriority w:val="99"/>
    <w:semiHidden/>
    <w:qFormat/>
    <w:rsid w:val="007c133e"/>
    <w:rPr>
      <w:rFonts w:ascii="Times New Roman" w:hAnsi="Times New Roman" w:eastAsia="Times New Roman" w:cs="Times New Roman"/>
      <w:sz w:val="20"/>
      <w:szCs w:val="20"/>
      <w:lang w:eastAsia="pt-BR"/>
    </w:rPr>
  </w:style>
  <w:style w:type="character" w:styleId="Ncoradanotaderodap" w:customStyle="1">
    <w:name w:val="Âncora da nota de rodapé"/>
    <w:rPr>
      <w:vertAlign w:val="superscript"/>
    </w:rPr>
  </w:style>
  <w:style w:type="character" w:styleId="FootnoteCharacters" w:customStyle="1">
    <w:name w:val="Footnote Characters"/>
    <w:basedOn w:val="DefaultParagraphFont"/>
    <w:uiPriority w:val="99"/>
    <w:semiHidden/>
    <w:unhideWhenUsed/>
    <w:qFormat/>
    <w:rsid w:val="007c133e"/>
    <w:rPr>
      <w:vertAlign w:val="superscript"/>
    </w:rPr>
  </w:style>
  <w:style w:type="character" w:styleId="FollowedHyperlink">
    <w:name w:val="FollowedHyperlink"/>
    <w:basedOn w:val="DefaultParagraphFont"/>
    <w:uiPriority w:val="99"/>
    <w:semiHidden/>
    <w:unhideWhenUsed/>
    <w:qFormat/>
    <w:rsid w:val="00201a2c"/>
    <w:rPr>
      <w:color w:val="800080" w:themeColor="followedHyperlink"/>
      <w:u w:val="single"/>
    </w:rPr>
  </w:style>
  <w:style w:type="character" w:styleId="Caracteresdenotaderodap" w:customStyle="1">
    <w:name w:val="Caracteres de nota de rodapé"/>
    <w:qFormat/>
    <w:rPr/>
  </w:style>
  <w:style w:type="character" w:styleId="Ncoradanotadefim" w:customStyle="1">
    <w:name w:val="Âncora da nota de fim"/>
    <w:rPr>
      <w:vertAlign w:val="superscript"/>
    </w:rPr>
  </w:style>
  <w:style w:type="character" w:styleId="Caracteresdenotadefim" w:customStyle="1">
    <w:name w:val="Caracteres de nota de fim"/>
    <w:qFormat/>
    <w:rPr/>
  </w:style>
  <w:style w:type="character" w:styleId="Pagenumber">
    <w:name w:val="page number"/>
    <w:qFormat/>
    <w:rsid w:val="006c0732"/>
    <w:rPr/>
  </w:style>
  <w:style w:type="character" w:styleId="ListLabel1">
    <w:name w:val="ListLabel 1"/>
    <w:qFormat/>
    <w:rPr>
      <w:rFonts w:ascii="Calibri" w:hAnsi="Calibri" w:cs="Arial"/>
      <w:sz w:val="18"/>
      <w:szCs w:val="18"/>
    </w:rPr>
  </w:style>
  <w:style w:type="character" w:styleId="ListLabel2">
    <w:name w:val="ListLabel 2"/>
    <w:qFormat/>
    <w:rPr/>
  </w:style>
  <w:style w:type="character" w:styleId="ListLabel3">
    <w:name w:val="ListLabel 3"/>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ParaPrinc" w:customStyle="1">
    <w:name w:val="ParaPrinc"/>
    <w:basedOn w:val="Normal"/>
    <w:qFormat/>
    <w:rsid w:val="00ad6a36"/>
    <w:pPr>
      <w:widowControl w:val="false"/>
      <w:snapToGrid w:val="false"/>
      <w:jc w:val="both"/>
    </w:pPr>
    <w:rPr>
      <w:rFonts w:ascii="Book Antiqua" w:hAnsi="Book Antiqua"/>
      <w:sz w:val="24"/>
      <w:lang w:val="en-AU"/>
    </w:rPr>
  </w:style>
  <w:style w:type="paragraph" w:styleId="Corpodotextorecuado">
    <w:name w:val="Body Text Indent"/>
    <w:basedOn w:val="Normal"/>
    <w:link w:val="RecuodecorpodetextoChar"/>
    <w:rsid w:val="00ad6a36"/>
    <w:pPr>
      <w:ind w:left="426" w:hanging="426"/>
    </w:pPr>
    <w:rPr/>
  </w:style>
  <w:style w:type="paragraph" w:styleId="Default" w:customStyle="1">
    <w:name w:val="Default"/>
    <w:qFormat/>
    <w:rsid w:val="00ad6a36"/>
    <w:pPr>
      <w:widowControl/>
      <w:bidi w:val="0"/>
      <w:jc w:val="left"/>
    </w:pPr>
    <w:rPr>
      <w:rFonts w:ascii="Arial" w:hAnsi="Arial" w:eastAsia="Times New Roman" w:cs="Arial"/>
      <w:color w:val="000000"/>
      <w:kern w:val="0"/>
      <w:sz w:val="24"/>
      <w:szCs w:val="24"/>
      <w:lang w:eastAsia="pt-BR" w:val="pt-BR" w:bidi="ar-SA"/>
    </w:rPr>
  </w:style>
  <w:style w:type="paragraph" w:styleId="BodyTextIndent2">
    <w:name w:val="Body Text Indent 2"/>
    <w:basedOn w:val="Normal"/>
    <w:link w:val="Recuodecorpodetexto2Char"/>
    <w:qFormat/>
    <w:rsid w:val="00ad6a36"/>
    <w:pPr>
      <w:ind w:left="3686" w:hanging="0"/>
      <w:jc w:val="both"/>
    </w:pPr>
    <w:rPr>
      <w:rFonts w:ascii="Arial" w:hAnsi="Arial"/>
      <w:b/>
    </w:rPr>
  </w:style>
  <w:style w:type="paragraph" w:styleId="WWRecuodecorpodetexto2" w:customStyle="1">
    <w:name w:val="WW-Recuo de corpo de texto 2"/>
    <w:basedOn w:val="Normal"/>
    <w:qFormat/>
    <w:rsid w:val="00ad6a36"/>
    <w:pPr>
      <w:suppressAutoHyphens w:val="true"/>
      <w:ind w:firstLine="708"/>
      <w:jc w:val="both"/>
    </w:pPr>
    <w:rPr>
      <w:b/>
    </w:rPr>
  </w:style>
  <w:style w:type="paragraph" w:styleId="Contrato" w:customStyle="1">
    <w:name w:val="Contrato"/>
    <w:basedOn w:val="Normal"/>
    <w:qFormat/>
    <w:rsid w:val="00ad6a36"/>
    <w:pPr>
      <w:spacing w:before="0" w:after="240"/>
      <w:jc w:val="both"/>
    </w:pPr>
    <w:rPr>
      <w:sz w:val="24"/>
    </w:rPr>
  </w:style>
  <w:style w:type="paragraph" w:styleId="BalloonText">
    <w:name w:val="Balloon Text"/>
    <w:basedOn w:val="Normal"/>
    <w:link w:val="TextodebaloChar"/>
    <w:uiPriority w:val="99"/>
    <w:semiHidden/>
    <w:unhideWhenUsed/>
    <w:qFormat/>
    <w:rsid w:val="00ad6a36"/>
    <w:pPr/>
    <w:rPr>
      <w:rFonts w:ascii="Tahoma" w:hAnsi="Tahoma" w:cs="Tahoma"/>
      <w:sz w:val="16"/>
      <w:szCs w:val="16"/>
    </w:rPr>
  </w:style>
  <w:style w:type="paragraph" w:styleId="CabealhoeRodap" w:customStyle="1">
    <w:name w:val="Cabeçalho e Rodapé"/>
    <w:basedOn w:val="Normal"/>
    <w:qFormat/>
    <w:pPr/>
    <w:rPr/>
  </w:style>
  <w:style w:type="paragraph" w:styleId="Cabealho">
    <w:name w:val="Header"/>
    <w:basedOn w:val="Normal"/>
    <w:link w:val="CabealhoChar"/>
    <w:uiPriority w:val="99"/>
    <w:unhideWhenUsed/>
    <w:rsid w:val="00ad6a36"/>
    <w:pPr>
      <w:tabs>
        <w:tab w:val="clear" w:pos="708"/>
        <w:tab w:val="center" w:pos="4252" w:leader="none"/>
        <w:tab w:val="right" w:pos="8504" w:leader="none"/>
      </w:tabs>
    </w:pPr>
    <w:rPr/>
  </w:style>
  <w:style w:type="paragraph" w:styleId="Rodap">
    <w:name w:val="Footer"/>
    <w:basedOn w:val="Normal"/>
    <w:link w:val="RodapChar"/>
    <w:uiPriority w:val="99"/>
    <w:unhideWhenUsed/>
    <w:rsid w:val="00ad6a36"/>
    <w:pPr>
      <w:tabs>
        <w:tab w:val="clear" w:pos="708"/>
        <w:tab w:val="center" w:pos="4252" w:leader="none"/>
        <w:tab w:val="right" w:pos="8504" w:leader="none"/>
      </w:tabs>
    </w:pPr>
    <w:rPr/>
  </w:style>
  <w:style w:type="paragraph" w:styleId="ListParagraph">
    <w:name w:val="List Paragraph"/>
    <w:basedOn w:val="Normal"/>
    <w:uiPriority w:val="34"/>
    <w:qFormat/>
    <w:rsid w:val="00e46244"/>
    <w:pPr>
      <w:spacing w:before="0" w:after="0"/>
      <w:ind w:left="720" w:hanging="0"/>
      <w:contextualSpacing/>
    </w:pPr>
    <w:rPr/>
  </w:style>
  <w:style w:type="paragraph" w:styleId="PargrafodaLista1" w:customStyle="1">
    <w:name w:val="Parágrafo da Lista1"/>
    <w:basedOn w:val="Normal"/>
    <w:qFormat/>
    <w:rsid w:val="00e5179a"/>
    <w:pPr>
      <w:widowControl w:val="false"/>
      <w:suppressAutoHyphens w:val="true"/>
      <w:textAlignment w:val="baseline"/>
    </w:pPr>
    <w:rPr>
      <w:rFonts w:eastAsia="Lucida Sans Unicode" w:cs="Mangal"/>
      <w:kern w:val="2"/>
      <w:sz w:val="24"/>
      <w:szCs w:val="24"/>
      <w:lang w:eastAsia="zh-CN" w:bidi="hi-IN"/>
    </w:rPr>
  </w:style>
  <w:style w:type="paragraph" w:styleId="A010165" w:customStyle="1">
    <w:name w:val="_A010165"/>
    <w:qFormat/>
    <w:rsid w:val="007e6022"/>
    <w:pPr>
      <w:widowControl/>
      <w:tabs>
        <w:tab w:val="clear" w:pos="708"/>
        <w:tab w:val="left" w:pos="937" w:leader="none"/>
      </w:tabs>
      <w:suppressAutoHyphens w:val="true"/>
      <w:bidi w:val="0"/>
      <w:jc w:val="both"/>
    </w:pPr>
    <w:rPr>
      <w:rFonts w:ascii="Arial" w:hAnsi="Arial" w:eastAsia="Times New Roman" w:cs="Times New Roman"/>
      <w:color w:val="000000"/>
      <w:kern w:val="0"/>
      <w:sz w:val="20"/>
      <w:szCs w:val="20"/>
      <w:lang w:eastAsia="ar-SA" w:val="pt-BR" w:bidi="ar-SA"/>
    </w:rPr>
  </w:style>
  <w:style w:type="paragraph" w:styleId="NormalWeb">
    <w:name w:val="Normal (Web)"/>
    <w:basedOn w:val="Normal"/>
    <w:uiPriority w:val="99"/>
    <w:semiHidden/>
    <w:unhideWhenUsed/>
    <w:qFormat/>
    <w:rsid w:val="00456441"/>
    <w:pPr>
      <w:spacing w:beforeAutospacing="1" w:afterAutospacing="1"/>
    </w:pPr>
    <w:rPr>
      <w:sz w:val="24"/>
      <w:szCs w:val="24"/>
    </w:rPr>
  </w:style>
  <w:style w:type="paragraph" w:styleId="TableParagraph" w:customStyle="1">
    <w:name w:val="Table Paragraph"/>
    <w:basedOn w:val="Normal"/>
    <w:uiPriority w:val="1"/>
    <w:qFormat/>
    <w:rsid w:val="00202875"/>
    <w:pPr>
      <w:widowControl w:val="false"/>
      <w:ind w:left="103" w:hanging="0"/>
    </w:pPr>
    <w:rPr>
      <w:sz w:val="22"/>
      <w:szCs w:val="22"/>
      <w:lang w:val="en-US" w:eastAsia="en-US"/>
    </w:rPr>
  </w:style>
  <w:style w:type="paragraph" w:styleId="Rtejustify" w:customStyle="1">
    <w:name w:val="rtejustify"/>
    <w:basedOn w:val="Normal"/>
    <w:qFormat/>
    <w:rsid w:val="00e81b5f"/>
    <w:pPr>
      <w:spacing w:beforeAutospacing="1" w:afterAutospacing="1"/>
    </w:pPr>
    <w:rPr>
      <w:sz w:val="24"/>
      <w:szCs w:val="24"/>
    </w:rPr>
  </w:style>
  <w:style w:type="paragraph" w:styleId="Rtecenter" w:customStyle="1">
    <w:name w:val="rtecenter"/>
    <w:basedOn w:val="Normal"/>
    <w:qFormat/>
    <w:rsid w:val="00e81b5f"/>
    <w:pPr>
      <w:spacing w:beforeAutospacing="1" w:afterAutospacing="1"/>
    </w:pPr>
    <w:rPr>
      <w:sz w:val="24"/>
      <w:szCs w:val="24"/>
    </w:rPr>
  </w:style>
  <w:style w:type="paragraph" w:styleId="Rteindent1" w:customStyle="1">
    <w:name w:val="rteindent1"/>
    <w:basedOn w:val="Normal"/>
    <w:qFormat/>
    <w:rsid w:val="00e81b5f"/>
    <w:pPr>
      <w:spacing w:beforeAutospacing="1" w:afterAutospacing="1"/>
    </w:pPr>
    <w:rPr>
      <w:sz w:val="24"/>
      <w:szCs w:val="24"/>
    </w:rPr>
  </w:style>
  <w:style w:type="paragraph" w:styleId="Annotationtext">
    <w:name w:val="annotation text"/>
    <w:basedOn w:val="Normal"/>
    <w:link w:val="TextodecomentrioChar"/>
    <w:uiPriority w:val="99"/>
    <w:semiHidden/>
    <w:unhideWhenUsed/>
    <w:qFormat/>
    <w:rsid w:val="00f14b80"/>
    <w:pPr/>
    <w:rPr/>
  </w:style>
  <w:style w:type="paragraph" w:styleId="Annotationsubject">
    <w:name w:val="annotation subject"/>
    <w:basedOn w:val="Annotationtext"/>
    <w:next w:val="Annotationtext"/>
    <w:link w:val="AssuntodocomentrioChar"/>
    <w:uiPriority w:val="99"/>
    <w:semiHidden/>
    <w:unhideWhenUsed/>
    <w:qFormat/>
    <w:rsid w:val="00f14b80"/>
    <w:pPr/>
    <w:rPr>
      <w:b/>
      <w:bCs/>
    </w:rPr>
  </w:style>
  <w:style w:type="paragraph" w:styleId="Textojustificado" w:customStyle="1">
    <w:name w:val="texto_justificado"/>
    <w:basedOn w:val="Normal"/>
    <w:qFormat/>
    <w:rsid w:val="006e4d8e"/>
    <w:pPr>
      <w:spacing w:beforeAutospacing="1" w:afterAutospacing="1"/>
    </w:pPr>
    <w:rPr>
      <w:sz w:val="24"/>
      <w:szCs w:val="24"/>
    </w:rPr>
  </w:style>
  <w:style w:type="paragraph" w:styleId="Notaderodap">
    <w:name w:val="Footnote Text"/>
    <w:basedOn w:val="Normal"/>
    <w:link w:val="TextodenotaderodapChar"/>
    <w:uiPriority w:val="99"/>
    <w:semiHidden/>
    <w:unhideWhenUsed/>
    <w:rsid w:val="007c133e"/>
    <w:pPr/>
    <w:rPr/>
  </w:style>
  <w:style w:type="paragraph" w:styleId="Contedodoquadro" w:customStyle="1">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697d8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deGrade4-nfase31">
    <w:name w:val="Tabela de Grade 4 - Ênfase 31"/>
    <w:basedOn w:val="Tabelanormal"/>
    <w:uiPriority w:val="49"/>
    <w:rsid w:val="00202875"/>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color w:val="FFFFFF" w:themeColor="background1"/>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blPr/>
      <w:tcPr>
        <w:tcBorders>
          <w:top w:val="double" w:color="9BBB59" w:themeColor="accent3" w:sz="4" w:space="0"/>
        </w:tcBorders>
      </w:tcPr>
    </w:tblStylePr>
    <w:tblStylePr w:type="firstCol">
      <w:rPr>
        <w:b/>
        <w:bCs/>
      </w:rPr>
      <w:tblPr/>
    </w:tblStylePr>
    <w:tblStylePr w:type="lastCol">
      <w:rPr>
        <w:b/>
        <w:bCs/>
      </w:rPr>
      <w:tbl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eladeLista3-nfase31">
    <w:name w:val="Tabela de Lista 3 - Ênfase 31"/>
    <w:basedOn w:val="Tabelanormal"/>
    <w:uiPriority w:val="48"/>
    <w:rsid w:val="006d6fbe"/>
    <w:tblPr>
      <w:tblStyleRowBandSize w:val="1"/>
      <w:tblStyleColBandSize w:val="1"/>
      <w:tblBorders>
        <w:top w:val="single" w:color="9BBB59" w:themeColor="accent3" w:sz="4" w:space="0"/>
        <w:left w:val="single" w:color="9BBB59" w:themeColor="accent3" w:sz="4" w:space="0"/>
        <w:bottom w:val="single" w:color="9BBB59" w:themeColor="accent3" w:sz="4" w:space="0"/>
        <w:right w:val="single" w:color="9BBB59" w:themeColor="accent3" w:sz="4" w:space="0"/>
      </w:tblBorders>
    </w:tblPr>
    <w:tblStylePr w:type="firstRow">
      <w:rPr>
        <w:b/>
        <w:bCs/>
        <w:color w:val="FFFFFF" w:themeColor="background1"/>
      </w:rPr>
      <w:tblPr/>
      <w:tcPr>
        <w:shd w:val="clear" w:color="auto" w:fill="9BBB59" w:themeFill="accent3"/>
      </w:tcPr>
    </w:tblStylePr>
    <w:tblStylePr w:type="lastRow">
      <w:rPr>
        <w:b/>
        <w:bCs/>
      </w:rPr>
      <w:tblPr/>
      <w:tcPr>
        <w:tcBorders>
          <w:top w:val="double" w:color="9BBB59"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BBB59" w:themeColor="accent3" w:sz="4" w:space="0"/>
          <w:right w:val="single" w:color="9BBB59" w:themeColor="accent3" w:sz="4" w:space="0"/>
        </w:tcBorders>
      </w:tcPr>
    </w:tblStylePr>
    <w:tblStylePr w:type="band1Horz">
      <w:tblPr/>
      <w:tcPr>
        <w:tcBorders>
          <w:top w:val="single" w:color="9BBB59" w:themeColor="accent3" w:sz="4" w:space="0"/>
          <w:bottom w:val="single" w:color="9BBB59"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BBB59" w:themeColor="accent3" w:sz="4" w:space="0"/>
          <w:left w:val="nil"/>
        </w:tcBorders>
      </w:tcPr>
    </w:tblStylePr>
    <w:tblStylePr w:type="swCell">
      <w:tblPr/>
      <w:tcPr>
        <w:tcBorders>
          <w:top w:val="double" w:color="9BBB59" w:themeColor="accent3" w:sz="4" w:space="0"/>
          <w:right w:val="nil"/>
        </w:tcBorders>
      </w:tcPr>
    </w:tblStylePr>
  </w:style>
  <w:style w:type="table" w:customStyle="1" w:styleId="TabeladeGrade6Colorida-nfase31">
    <w:name w:val="Tabela de Grade 6 Colorida - Ênfase 31"/>
    <w:basedOn w:val="Tabelanormal"/>
    <w:uiPriority w:val="51"/>
    <w:rsid w:val="0036724d"/>
    <w:rPr>
      <w:color w:val="76923C" w:themeColor="accent3" w:themeShade="bf"/>
    </w:rPr>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blPr/>
      <w:tcPr>
        <w:tcBorders>
          <w:bottom w:val="single" w:color="9BBB59" w:themeColor="accent3" w:sz="12" w:space="0"/>
        </w:tcBorders>
      </w:tcPr>
    </w:tblStylePr>
    <w:tblStylePr w:type="lastRow">
      <w:rPr>
        <w:b/>
        <w:bCs/>
      </w:rPr>
      <w:tblPr/>
      <w:tcPr>
        <w:tcBorders>
          <w:top w:val="double" w:color="9BBB59" w:themeColor="accent3" w:sz="4" w:space="0"/>
        </w:tcBorders>
      </w:tcPr>
    </w:tblStylePr>
    <w:tblStylePr w:type="firstCol">
      <w:rPr>
        <w:b/>
        <w:bCs/>
      </w:rPr>
      <w:tblPr/>
    </w:tblStylePr>
    <w:tblStylePr w:type="lastCol">
      <w:rPr>
        <w:b/>
        <w:bCs/>
      </w:rPr>
      <w:tbl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ibge.gov.br/apps/populacao/projecao/" TargetMode="External"/><Relationship Id="rId4" Type="http://schemas.openxmlformats.org/officeDocument/2006/relationships/hyperlink" Target="https://www.ibge.gov.br/apps/populacao/projecao/" TargetMode="External"/><Relationship Id="rId5" Type="http://schemas.openxmlformats.org/officeDocument/2006/relationships/hyperlink" Target="https://www.ibge.gov.br/apps/populacao/projecao/" TargetMode="External"/><Relationship Id="rId6" Type="http://schemas.openxmlformats.org/officeDocument/2006/relationships/image" Target="media/image2.wmf"/><Relationship Id="rId7" Type="http://schemas.openxmlformats.org/officeDocument/2006/relationships/image" Target="media/image3.wmf"/><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notes" Target="footnot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470A8-A73F-420A-AE24-F3FDEB939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Application>LibreOffice/6.2.4.2$Windows_X86_64 LibreOffice_project/2412653d852ce75f65fbfa83fb7e7b669a126d64</Application>
  <Pages>11</Pages>
  <Words>3251</Words>
  <Characters>16520</Characters>
  <CharactersWithSpaces>19787</CharactersWithSpaces>
  <Paragraphs>338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2020-02-17T03:15:00Z</dcterms:created>
  <dc:creator>bteixeira</dc:creator>
  <dc:description/>
  <dc:language>pt-BR</dc:language>
  <cp:lastModifiedBy/>
  <cp:lastPrinted>2020-02-14T12:32:00Z</cp:lastPrinted>
  <dcterms:modified xsi:type="dcterms:W3CDTF">2020-04-06T14:52:01Z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