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612658">
        <w:rPr>
          <w:rFonts w:ascii="Verdana" w:hAnsi="Verdana"/>
          <w:b/>
          <w:color w:val="FF0000"/>
          <w:sz w:val="24"/>
          <w:szCs w:val="24"/>
        </w:rPr>
        <w:t>01/2019/AD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DB05F1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1B50FA">
        <w:rPr>
          <w:rFonts w:ascii="Verdana" w:hAnsi="Verdana"/>
          <w:sz w:val="18"/>
          <w:szCs w:val="18"/>
        </w:rPr>
        <w:t>23069.021.013/2018-61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612658">
        <w:rPr>
          <w:rFonts w:ascii="Verdana" w:hAnsi="Verdana"/>
          <w:b/>
          <w:sz w:val="18"/>
          <w:szCs w:val="18"/>
          <w:u w:val="words"/>
        </w:rPr>
        <w:t>01/2019/AD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>O presente Contrato tem por objeto a prestação</w:t>
      </w:r>
      <w:r w:rsidR="001B50FA">
        <w:rPr>
          <w:rFonts w:ascii="Verdana" w:hAnsi="Verdana"/>
          <w:sz w:val="18"/>
          <w:szCs w:val="18"/>
        </w:rPr>
        <w:t xml:space="preserve"> </w:t>
      </w:r>
      <w:r w:rsidR="001B50FA" w:rsidRPr="00F31AEC">
        <w:rPr>
          <w:rFonts w:ascii="Verdana" w:hAnsi="Verdana"/>
          <w:bCs/>
          <w:sz w:val="18"/>
          <w:szCs w:val="18"/>
        </w:rPr>
        <w:t>de</w:t>
      </w:r>
      <w:r w:rsidR="001B50FA">
        <w:rPr>
          <w:rFonts w:ascii="Verdana" w:hAnsi="Verdana"/>
          <w:bCs/>
          <w:sz w:val="18"/>
          <w:szCs w:val="18"/>
        </w:rPr>
        <w:t xml:space="preserve"> serviços de fornecimento e instalação de um elevador plataforma elevatória para acessibilidade, que será instalado no prédio clássico da Faculdade de Direito da Universidade Federal Fluminense</w:t>
      </w:r>
      <w:r w:rsidR="001B50FA" w:rsidRPr="00F31AEC">
        <w:rPr>
          <w:rFonts w:ascii="Verdana" w:hAnsi="Verdana"/>
          <w:sz w:val="18"/>
          <w:szCs w:val="18"/>
        </w:rPr>
        <w:t>,</w:t>
      </w:r>
      <w:r w:rsidR="001B50FA" w:rsidRPr="00BE563D">
        <w:rPr>
          <w:rFonts w:ascii="Verdana" w:hAnsi="Verdana"/>
          <w:sz w:val="18"/>
          <w:szCs w:val="18"/>
        </w:rPr>
        <w:t xml:space="preserve"> </w:t>
      </w:r>
      <w:r w:rsidR="001B50FA">
        <w:rPr>
          <w:rFonts w:ascii="Verdana" w:hAnsi="Verdana"/>
          <w:sz w:val="18"/>
          <w:szCs w:val="18"/>
        </w:rPr>
        <w:t>localizado na Rua Presidente Pedreira, n.º 62, bairro do Ingá, Niterói – RJ</w:t>
      </w:r>
      <w:r w:rsidR="00E9516A" w:rsidRPr="00DD7B13">
        <w:rPr>
          <w:rFonts w:ascii="Verdana" w:hAnsi="Verdana"/>
          <w:sz w:val="18"/>
          <w:szCs w:val="18"/>
        </w:rPr>
        <w:t xml:space="preserve">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1B50FA">
        <w:rPr>
          <w:rFonts w:ascii="Verdana" w:hAnsi="Verdana"/>
          <w:sz w:val="18"/>
          <w:szCs w:val="18"/>
        </w:rPr>
        <w:t>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612658">
        <w:rPr>
          <w:rFonts w:ascii="Verdana" w:hAnsi="Verdana"/>
          <w:b/>
          <w:sz w:val="18"/>
          <w:szCs w:val="18"/>
        </w:rPr>
        <w:t>01/2019/AD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612658">
        <w:rPr>
          <w:rFonts w:ascii="Verdana" w:hAnsi="Verdana"/>
          <w:b/>
          <w:sz w:val="18"/>
          <w:szCs w:val="18"/>
        </w:rPr>
        <w:t>01/2019/AD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9636F6" w:rsidRPr="00603AB9" w:rsidRDefault="009636F6" w:rsidP="009636F6">
      <w:pPr>
        <w:pStyle w:val="Corpodetexto"/>
        <w:numPr>
          <w:ilvl w:val="1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Como garantia integral de todas as obrigações assumida</w:t>
      </w:r>
      <w:r>
        <w:rPr>
          <w:rFonts w:ascii="Verdana" w:hAnsi="Verdana"/>
          <w:sz w:val="18"/>
          <w:szCs w:val="18"/>
        </w:rPr>
        <w:t>s, a empresa vencedora prestará</w:t>
      </w:r>
      <w:r w:rsidRPr="00603AB9">
        <w:rPr>
          <w:rFonts w:ascii="Verdana" w:hAnsi="Verdana"/>
          <w:sz w:val="18"/>
          <w:szCs w:val="18"/>
        </w:rPr>
        <w:t xml:space="preserve"> g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rantia de execução dos serviços, no valor de 5% (cinco por cento) do valor global do contrato, podendo a Contratada optar por uma das seguintes modalidades:</w:t>
      </w:r>
    </w:p>
    <w:p w:rsidR="009636F6" w:rsidRPr="00603AB9" w:rsidRDefault="009636F6" w:rsidP="009636F6">
      <w:pPr>
        <w:pStyle w:val="Corpodetexto"/>
        <w:numPr>
          <w:ilvl w:val="2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caução em dinheiro;</w:t>
      </w:r>
    </w:p>
    <w:p w:rsidR="009636F6" w:rsidRPr="00603AB9" w:rsidRDefault="009636F6" w:rsidP="009636F6">
      <w:pPr>
        <w:pStyle w:val="Corpodetexto"/>
        <w:numPr>
          <w:ilvl w:val="2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seguro garantia – somente será aceita se contemplar todos os eventos indicados no subitem </w:t>
      </w:r>
      <w:r>
        <w:rPr>
          <w:rFonts w:ascii="Verdana" w:hAnsi="Verdana"/>
          <w:sz w:val="18"/>
          <w:szCs w:val="18"/>
        </w:rPr>
        <w:t>3.9</w:t>
      </w:r>
      <w:r w:rsidRPr="00603AB9">
        <w:rPr>
          <w:rFonts w:ascii="Verdana" w:hAnsi="Verdana"/>
          <w:sz w:val="18"/>
          <w:szCs w:val="18"/>
        </w:rPr>
        <w:t>;</w:t>
      </w:r>
    </w:p>
    <w:p w:rsidR="009636F6" w:rsidRPr="00603AB9" w:rsidRDefault="009636F6" w:rsidP="009636F6">
      <w:pPr>
        <w:pStyle w:val="Corpodetexto"/>
        <w:numPr>
          <w:ilvl w:val="2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fiança bancária.</w:t>
      </w:r>
    </w:p>
    <w:p w:rsidR="009636F6" w:rsidRPr="00603AB9" w:rsidRDefault="009636F6" w:rsidP="009636F6">
      <w:pPr>
        <w:pStyle w:val="Corpodetexto"/>
        <w:numPr>
          <w:ilvl w:val="1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caso de caução em dinheiro, o depósito deverá ser efetuado pela empresa vencedora, junto à Caixa Econômica Federal (CEF), na agência e conta específica para esse fim, com correção monetária a favor da Contratada, a ser indicada pela Contratante, e cujo valor será informado à CEF por meio de ofício expedido pela Contratante.</w:t>
      </w:r>
    </w:p>
    <w:p w:rsidR="009636F6" w:rsidRPr="00603AB9" w:rsidRDefault="009636F6" w:rsidP="009636F6">
      <w:pPr>
        <w:pStyle w:val="Corpodetexto"/>
        <w:numPr>
          <w:ilvl w:val="1"/>
          <w:numId w:val="3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Em caso de apresentação de fiança bancária, na carta de fiança deverá constar expressa r</w:t>
      </w:r>
      <w:r w:rsidRPr="00603AB9">
        <w:rPr>
          <w:rFonts w:ascii="Verdana" w:hAnsi="Verdana"/>
          <w:sz w:val="18"/>
          <w:szCs w:val="18"/>
        </w:rPr>
        <w:t>e</w:t>
      </w:r>
      <w:r w:rsidRPr="00603AB9">
        <w:rPr>
          <w:rFonts w:ascii="Verdana" w:hAnsi="Verdana"/>
          <w:sz w:val="18"/>
          <w:szCs w:val="18"/>
        </w:rPr>
        <w:t>núncia, pelo fiador, dos benefícios do art. 827 do Código Civil Brasileiro.</w:t>
      </w:r>
    </w:p>
    <w:p w:rsidR="009636F6" w:rsidRPr="00603AB9" w:rsidRDefault="009636F6" w:rsidP="009636F6">
      <w:pPr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apresentação do comprovante de garantia deverá ser feita no prazo máximo de 1</w:t>
      </w:r>
      <w:r>
        <w:rPr>
          <w:rFonts w:ascii="Verdana" w:hAnsi="Verdana"/>
          <w:sz w:val="18"/>
          <w:szCs w:val="18"/>
        </w:rPr>
        <w:t>0</w:t>
      </w:r>
      <w:r w:rsidRPr="00603AB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dez</w:t>
      </w:r>
      <w:r w:rsidRPr="00603AB9">
        <w:rPr>
          <w:rFonts w:ascii="Verdana" w:hAnsi="Verdana"/>
          <w:sz w:val="18"/>
          <w:szCs w:val="18"/>
        </w:rPr>
        <w:t xml:space="preserve">) dias úteis, contados a partir </w:t>
      </w:r>
      <w:r>
        <w:rPr>
          <w:rFonts w:ascii="Verdana" w:hAnsi="Verdana"/>
          <w:sz w:val="18"/>
          <w:szCs w:val="18"/>
        </w:rPr>
        <w:t>da data de assinatura do contrato, prorrogáveis por igual período a critério da Contratante.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inobservância do prazo fixado para apresentação da garantia acarretará a aplicação de multa de 0,07% (sete centésimos por cento) do valor do contrato por dia de atraso, observado o m</w:t>
      </w:r>
      <w:r w:rsidRPr="00603AB9">
        <w:rPr>
          <w:rFonts w:ascii="Verdana" w:hAnsi="Verdana"/>
          <w:sz w:val="18"/>
          <w:szCs w:val="18"/>
        </w:rPr>
        <w:t>á</w:t>
      </w:r>
      <w:r w:rsidRPr="00603AB9">
        <w:rPr>
          <w:rFonts w:ascii="Verdana" w:hAnsi="Verdana"/>
          <w:sz w:val="18"/>
          <w:szCs w:val="18"/>
        </w:rPr>
        <w:t>ximo de 2% (dois por cento);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O atraso superior a 25 (vinte e cinco) dias autoriza a Contratante a promover a </w:t>
      </w:r>
      <w:r>
        <w:rPr>
          <w:rFonts w:ascii="Verdana" w:hAnsi="Verdana"/>
          <w:sz w:val="18"/>
          <w:szCs w:val="18"/>
        </w:rPr>
        <w:t>rescisão do contrato</w:t>
      </w:r>
      <w:r w:rsidRPr="00603AB9">
        <w:rPr>
          <w:rFonts w:ascii="Verdana" w:hAnsi="Verdana"/>
          <w:sz w:val="18"/>
          <w:szCs w:val="18"/>
        </w:rPr>
        <w:t xml:space="preserve"> por descumprim</w:t>
      </w:r>
      <w:r>
        <w:rPr>
          <w:rFonts w:ascii="Verdana" w:hAnsi="Verdana"/>
          <w:sz w:val="18"/>
          <w:szCs w:val="18"/>
        </w:rPr>
        <w:t>ento ou cumprimento irregular de suas cláusulas, conforme disposto nos incisos I e II do art. 78 da Lei 8.666/1993</w:t>
      </w:r>
      <w:r w:rsidRPr="00603AB9">
        <w:rPr>
          <w:rFonts w:ascii="Verdana" w:hAnsi="Verdana"/>
          <w:sz w:val="18"/>
          <w:szCs w:val="18"/>
        </w:rPr>
        <w:t>;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 garantidor não é parte interessada para figurar em processo administrativo instaurado pela Contratante com o objetivo de apurar prejuízos e/ou aplicar sanções à contratada;</w:t>
      </w:r>
    </w:p>
    <w:p w:rsidR="009636F6" w:rsidRPr="00603AB9" w:rsidRDefault="009636F6" w:rsidP="009636F6">
      <w:pPr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- </w:t>
      </w:r>
      <w:r w:rsidRPr="00603AB9">
        <w:rPr>
          <w:rFonts w:ascii="Verdana" w:hAnsi="Verdana"/>
          <w:bCs/>
          <w:iCs/>
          <w:sz w:val="18"/>
          <w:szCs w:val="18"/>
        </w:rPr>
        <w:t>A validade da garantia, qualquer que seja a modalidade escolhida, deverá abranger um período de 90 dias após o término da vigência contratual, conforme item 3.1 do Anexo VII-F da IN SEGES/MP nº 5/2017</w:t>
      </w:r>
      <w:r w:rsidRPr="00603AB9">
        <w:rPr>
          <w:rFonts w:ascii="Verdana" w:hAnsi="Verdana"/>
          <w:sz w:val="18"/>
          <w:szCs w:val="18"/>
        </w:rPr>
        <w:t>, e deverá ser renovada a cada prorrogação;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garantia, qualquer que seja a modalidade escolhida, assegurará o pagamento de:</w:t>
      </w:r>
    </w:p>
    <w:p w:rsidR="009636F6" w:rsidRPr="00603AB9" w:rsidRDefault="009636F6" w:rsidP="009636F6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advindos do não cumprimento do objeto do contrato e do não adimpl</w:t>
      </w:r>
      <w:r w:rsidRPr="00603AB9">
        <w:rPr>
          <w:rFonts w:ascii="Verdana" w:hAnsi="Verdana"/>
          <w:sz w:val="18"/>
          <w:szCs w:val="18"/>
        </w:rPr>
        <w:t>e</w:t>
      </w:r>
      <w:r w:rsidRPr="00603AB9">
        <w:rPr>
          <w:rFonts w:ascii="Verdana" w:hAnsi="Verdana"/>
          <w:sz w:val="18"/>
          <w:szCs w:val="18"/>
        </w:rPr>
        <w:t>mento das demais obrigações nele previstas;</w:t>
      </w:r>
    </w:p>
    <w:p w:rsidR="009636F6" w:rsidRPr="00603AB9" w:rsidRDefault="009636F6" w:rsidP="009636F6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causados à Contratante ou a terceiro, decorrentes de culpa ou dolo d</w:t>
      </w:r>
      <w:r w:rsidRPr="00603AB9">
        <w:rPr>
          <w:rFonts w:ascii="Verdana" w:hAnsi="Verdana"/>
          <w:sz w:val="18"/>
          <w:szCs w:val="18"/>
        </w:rPr>
        <w:t>u</w:t>
      </w:r>
      <w:r w:rsidRPr="00603AB9">
        <w:rPr>
          <w:rFonts w:ascii="Verdana" w:hAnsi="Verdana"/>
          <w:sz w:val="18"/>
          <w:szCs w:val="18"/>
        </w:rPr>
        <w:t>rante a execução do contrato;</w:t>
      </w:r>
    </w:p>
    <w:p w:rsidR="009636F6" w:rsidRPr="00603AB9" w:rsidRDefault="009636F6" w:rsidP="009636F6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multas moratórias e punitivas aplicadas pela Contratante à contratada; e</w:t>
      </w:r>
    </w:p>
    <w:p w:rsidR="009636F6" w:rsidRPr="00603AB9" w:rsidRDefault="009636F6" w:rsidP="009636F6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obrigações trabalhistas, fiscais e previdenciárias de qualquer natureza, não adi</w:t>
      </w:r>
      <w:r w:rsidRPr="00603AB9">
        <w:rPr>
          <w:rFonts w:ascii="Verdana" w:hAnsi="Verdana"/>
          <w:sz w:val="18"/>
          <w:szCs w:val="18"/>
        </w:rPr>
        <w:t>m</w:t>
      </w:r>
      <w:r w:rsidRPr="00603AB9">
        <w:rPr>
          <w:rFonts w:ascii="Verdana" w:hAnsi="Verdana"/>
          <w:sz w:val="18"/>
          <w:szCs w:val="18"/>
        </w:rPr>
        <w:t>plidas pela contratada;</w:t>
      </w:r>
    </w:p>
    <w:p w:rsidR="009636F6" w:rsidRDefault="009636F6" w:rsidP="009636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 o valor da garantia for utilizado total ou parcialmente em pagamento de qualquer obr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>gação, a Contratada obriga-se a fazer a respectiva reposição no prazo máximo de 30 (trinta) d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>as úteis, contados da data em que for notificada.</w:t>
      </w:r>
    </w:p>
    <w:p w:rsidR="009636F6" w:rsidRPr="0025652A" w:rsidRDefault="009636F6" w:rsidP="009636F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A contratada deverá </w:t>
      </w:r>
      <w:r w:rsidRPr="0025652A">
        <w:rPr>
          <w:rFonts w:ascii="Verdana" w:hAnsi="Verdana" w:cs="Tahoma"/>
          <w:color w:val="000000"/>
          <w:sz w:val="18"/>
          <w:szCs w:val="18"/>
        </w:rPr>
        <w:t>deverá complementar a garantia contratual anteriormente prestada, d</w:t>
      </w:r>
      <w:r>
        <w:rPr>
          <w:rFonts w:ascii="Verdana" w:hAnsi="Verdana" w:cs="Tahoma"/>
          <w:color w:val="000000"/>
          <w:sz w:val="18"/>
          <w:szCs w:val="18"/>
        </w:rPr>
        <w:t xml:space="preserve">e modo que se mantenha a proporção </w:t>
      </w:r>
      <w:r w:rsidRPr="0025652A">
        <w:rPr>
          <w:rFonts w:ascii="Verdana" w:hAnsi="Verdana" w:cs="Tahoma"/>
          <w:color w:val="000000"/>
          <w:sz w:val="18"/>
          <w:szCs w:val="18"/>
        </w:rPr>
        <w:t>de 5% (cinco por cento) em rela</w:t>
      </w:r>
      <w:r>
        <w:rPr>
          <w:rFonts w:ascii="Verdana" w:hAnsi="Verdana" w:cs="Tahoma"/>
          <w:color w:val="000000"/>
          <w:sz w:val="18"/>
          <w:szCs w:val="18"/>
        </w:rPr>
        <w:t>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ao valor contratado</w:t>
      </w:r>
      <w:r>
        <w:rPr>
          <w:rFonts w:ascii="Verdana" w:hAnsi="Verdana" w:cs="Tahoma"/>
          <w:color w:val="000000"/>
          <w:sz w:val="18"/>
          <w:szCs w:val="18"/>
        </w:rPr>
        <w:t>, como condição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para as eventuais </w:t>
      </w:r>
      <w:r>
        <w:rPr>
          <w:rFonts w:ascii="Verdana" w:hAnsi="Verdana" w:cs="Tahoma"/>
          <w:color w:val="000000"/>
          <w:sz w:val="18"/>
          <w:szCs w:val="18"/>
        </w:rPr>
        <w:t>futuras repactuações.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Contratante executará a garantia na forma prevista na legislação que rege a matéria.</w:t>
      </w:r>
    </w:p>
    <w:p w:rsidR="009636F6" w:rsidRPr="00603AB9" w:rsidRDefault="009636F6" w:rsidP="009636F6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A garantia será considerada extinta:</w:t>
      </w:r>
    </w:p>
    <w:p w:rsidR="009636F6" w:rsidRPr="00603AB9" w:rsidRDefault="009636F6" w:rsidP="009636F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 da Contratante, mediante termo circunstanciado, de que a Contratada cumpriu todas as cláusulas do contrato;</w:t>
      </w:r>
    </w:p>
    <w:p w:rsidR="009636F6" w:rsidRPr="00603AB9" w:rsidRDefault="009636F6" w:rsidP="009636F6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</w:p>
    <w:p w:rsidR="00E9516A" w:rsidRPr="00465E73" w:rsidRDefault="009636F6" w:rsidP="009636F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somente será liberada ante a comprovação de que a empresa pagou todas as verbas rescisórias trabalhistas decorrentes da contratação, e que, caso esse pagamento não ocorra até o fim do segundo mês após o encerramento da vigência contratual, a garantia será utilizada para o pagamento dessas verbas trabalhistas, conforme estabelecido no item 1.2, ‘c’, do anexo VII-B da IN SLTI/MPDG n° 05, de 2017, observada a legislação que rege a matéria.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1B50FA" w:rsidRDefault="001B50F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Seguir fielmente a Minuta do Termo de Referência contida no Anexo V do edital por RDC </w:t>
      </w:r>
      <w:r w:rsidR="00612658">
        <w:rPr>
          <w:rFonts w:ascii="Verdana" w:hAnsi="Verdana"/>
          <w:sz w:val="18"/>
          <w:szCs w:val="18"/>
        </w:rPr>
        <w:t>01/2019/AD</w:t>
      </w:r>
      <w:r>
        <w:rPr>
          <w:rFonts w:ascii="Verdana" w:hAnsi="Verdana"/>
          <w:sz w:val="18"/>
          <w:szCs w:val="18"/>
        </w:rPr>
        <w:t>;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midas,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</w:t>
      </w:r>
      <w:r w:rsidR="00500326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 xml:space="preserve">Fiscalização, bem como as guias de recolhimento do FGTS e INSS do mês </w:t>
      </w:r>
      <w:r w:rsidRPr="00465E73">
        <w:rPr>
          <w:rFonts w:ascii="Verdana" w:hAnsi="Verdana"/>
          <w:b/>
          <w:sz w:val="18"/>
          <w:szCs w:val="18"/>
        </w:rPr>
        <w:lastRenderedPageBreak/>
        <w:t>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1B50FA" w:rsidRDefault="002C0E87" w:rsidP="001B50F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1B50FA" w:rsidRPr="001B50FA" w:rsidRDefault="00E008E2" w:rsidP="001B50F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B50FA">
        <w:rPr>
          <w:rFonts w:ascii="Verdana" w:hAnsi="Verdana"/>
          <w:sz w:val="18"/>
          <w:szCs w:val="18"/>
        </w:rPr>
        <w:t xml:space="preserve">- </w:t>
      </w:r>
      <w:r w:rsidR="001B50FA" w:rsidRPr="001B50FA">
        <w:rPr>
          <w:rFonts w:ascii="Verdana" w:hAnsi="Verdana"/>
          <w:sz w:val="18"/>
          <w:szCs w:val="18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</w:t>
      </w:r>
      <w:r w:rsidR="001B50FA" w:rsidRPr="001B50FA">
        <w:rPr>
          <w:rFonts w:ascii="Verdana" w:hAnsi="Verdana" w:cs="Arial"/>
          <w:sz w:val="18"/>
          <w:szCs w:val="18"/>
        </w:rPr>
        <w:t>em que os juros de mora serão calculados à taxa de 0,5% (meio por cento) ao mês, ou 6% (seis por cento) ao ano, mediante a aplicação da seguinte fórmula:</w:t>
      </w:r>
      <w:r w:rsidR="001B50FA" w:rsidRPr="001B50FA">
        <w:rPr>
          <w:rFonts w:ascii="Verdana" w:hAnsi="Verdana"/>
          <w:sz w:val="18"/>
          <w:szCs w:val="18"/>
        </w:rPr>
        <w:t>:</w:t>
      </w:r>
    </w:p>
    <w:p w:rsidR="001B50FA" w:rsidRPr="00E672E7" w:rsidRDefault="001B50FA" w:rsidP="001B50FA">
      <w:pPr>
        <w:pStyle w:val="Corpodetexto"/>
        <w:ind w:left="1224" w:firstLine="192"/>
        <w:jc w:val="center"/>
        <w:rPr>
          <w:rFonts w:ascii="Verdana" w:hAnsi="Verdana"/>
          <w:sz w:val="18"/>
          <w:szCs w:val="18"/>
        </w:rPr>
      </w:pPr>
      <w:r w:rsidRPr="00E672E7">
        <w:rPr>
          <w:rFonts w:ascii="Verdana" w:hAnsi="Verdana"/>
          <w:sz w:val="18"/>
          <w:szCs w:val="18"/>
        </w:rPr>
        <w:t>EM = I X N X VP</w:t>
      </w:r>
    </w:p>
    <w:p w:rsidR="001B50FA" w:rsidRDefault="001B50FA" w:rsidP="001B50FA">
      <w:pPr>
        <w:pStyle w:val="Corpodetexto"/>
        <w:ind w:left="1224" w:firstLine="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Sendo:</w:t>
      </w:r>
    </w:p>
    <w:p w:rsidR="001B50FA" w:rsidRDefault="001B50FA" w:rsidP="001B50FA">
      <w:pPr>
        <w:pStyle w:val="Corpodetexto"/>
        <w:ind w:left="1224" w:firstLine="19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 = (tx/100)/365 dias</w:t>
      </w:r>
    </w:p>
    <w:p w:rsidR="001B50FA" w:rsidRPr="00E25D71" w:rsidRDefault="001B50FA" w:rsidP="001B50FA">
      <w:pPr>
        <w:pStyle w:val="Corpodetexto"/>
        <w:rPr>
          <w:rFonts w:ascii="Verdana" w:hAnsi="Verdana"/>
          <w:b/>
          <w:sz w:val="18"/>
          <w:szCs w:val="18"/>
        </w:rPr>
      </w:pPr>
    </w:p>
    <w:p w:rsidR="001B50FA" w:rsidRDefault="001B50FA" w:rsidP="001B50FA">
      <w:pPr>
        <w:pStyle w:val="Corpodetexto"/>
        <w:ind w:left="51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Onde:</w:t>
      </w:r>
      <w:r>
        <w:rPr>
          <w:rFonts w:ascii="Verdana" w:hAnsi="Verdana"/>
          <w:sz w:val="18"/>
          <w:szCs w:val="18"/>
        </w:rPr>
        <w:tab/>
        <w:t>I – índice de atualização monetária</w:t>
      </w:r>
    </w:p>
    <w:p w:rsidR="001B50FA" w:rsidRPr="00E672E7" w:rsidRDefault="001B50FA" w:rsidP="001B50FA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tx</w:t>
      </w:r>
      <w:r w:rsidRPr="00E25D71">
        <w:rPr>
          <w:rFonts w:ascii="Verdana" w:hAnsi="Verdana"/>
          <w:sz w:val="18"/>
          <w:szCs w:val="18"/>
        </w:rPr>
        <w:t xml:space="preserve"> – </w:t>
      </w:r>
      <w:r w:rsidRPr="00E672E7">
        <w:rPr>
          <w:rFonts w:ascii="Verdana" w:hAnsi="Verdana" w:cs="Arial"/>
          <w:sz w:val="18"/>
          <w:szCs w:val="18"/>
        </w:rPr>
        <w:t>juros de mora à taxa de 0,5% (meio por cento) ao mês</w:t>
      </w:r>
      <w:r w:rsidRPr="00E672E7">
        <w:rPr>
          <w:rFonts w:ascii="Verdana" w:hAnsi="Verdana"/>
          <w:sz w:val="18"/>
          <w:szCs w:val="18"/>
        </w:rPr>
        <w:t>;</w:t>
      </w:r>
    </w:p>
    <w:p w:rsidR="001B50FA" w:rsidRPr="00E25D71" w:rsidRDefault="001B50FA" w:rsidP="001B50FA">
      <w:pPr>
        <w:pStyle w:val="Corpodetexto"/>
        <w:ind w:left="2118" w:firstLine="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EM – encargos moratórios a serem acrescidos à parcela a ser paga;</w:t>
      </w:r>
    </w:p>
    <w:p w:rsidR="001B50FA" w:rsidRDefault="001B50FA" w:rsidP="001B50FA">
      <w:pPr>
        <w:pStyle w:val="Corpodetexto"/>
        <w:ind w:left="2124" w:firstLine="66"/>
        <w:rPr>
          <w:rFonts w:ascii="Verdana" w:hAnsi="Verdana"/>
          <w:b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N – número de dias entre a data prevista para o pagamento e a do efetivo pag</w:t>
      </w:r>
      <w:r w:rsidRPr="00E25D71">
        <w:rPr>
          <w:rFonts w:ascii="Verdana" w:hAnsi="Verdana"/>
          <w:sz w:val="18"/>
          <w:szCs w:val="18"/>
        </w:rPr>
        <w:t>a</w:t>
      </w:r>
      <w:r w:rsidRPr="00E25D71">
        <w:rPr>
          <w:rFonts w:ascii="Verdana" w:hAnsi="Verdana"/>
          <w:sz w:val="18"/>
          <w:szCs w:val="18"/>
        </w:rPr>
        <w:t>mento;</w:t>
      </w:r>
    </w:p>
    <w:p w:rsidR="001132BC" w:rsidRPr="00482C5B" w:rsidRDefault="001B50FA" w:rsidP="00F915DA">
      <w:pPr>
        <w:pStyle w:val="Corpodetexto"/>
        <w:ind w:left="1773" w:firstLine="351"/>
        <w:jc w:val="both"/>
        <w:rPr>
          <w:rFonts w:ascii="Verdana" w:hAnsi="Verdana"/>
          <w:sz w:val="18"/>
          <w:szCs w:val="18"/>
        </w:rPr>
      </w:pPr>
      <w:r w:rsidRPr="00E25D71">
        <w:rPr>
          <w:rFonts w:ascii="Verdana" w:hAnsi="Verdana"/>
          <w:sz w:val="18"/>
          <w:szCs w:val="18"/>
        </w:rPr>
        <w:t>VP – valor da parcela a ser paga.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F915DA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F915DA">
        <w:rPr>
          <w:rFonts w:ascii="Verdana" w:hAnsi="Verdana"/>
          <w:sz w:val="18"/>
          <w:szCs w:val="18"/>
        </w:rPr>
        <w:t xml:space="preserve">- O prazo de </w:t>
      </w:r>
      <w:r w:rsidRPr="00F915DA">
        <w:rPr>
          <w:rFonts w:ascii="Verdana" w:hAnsi="Verdana"/>
          <w:b/>
          <w:sz w:val="18"/>
          <w:szCs w:val="18"/>
        </w:rPr>
        <w:t>vigência do Contrato</w:t>
      </w:r>
      <w:r w:rsidRPr="00F915DA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F915DA" w:rsidRPr="00F915DA">
        <w:rPr>
          <w:rFonts w:ascii="Verdana" w:hAnsi="Verdana"/>
          <w:b/>
          <w:sz w:val="18"/>
          <w:szCs w:val="18"/>
        </w:rPr>
        <w:t>09</w:t>
      </w:r>
      <w:r w:rsidRPr="00F915DA">
        <w:rPr>
          <w:rFonts w:ascii="Verdana" w:hAnsi="Verdana"/>
          <w:b/>
          <w:sz w:val="18"/>
          <w:szCs w:val="18"/>
        </w:rPr>
        <w:t xml:space="preserve"> (</w:t>
      </w:r>
      <w:r w:rsidR="00F915DA" w:rsidRPr="00F915DA">
        <w:rPr>
          <w:rFonts w:ascii="Verdana" w:hAnsi="Verdana"/>
          <w:b/>
          <w:sz w:val="18"/>
          <w:szCs w:val="18"/>
        </w:rPr>
        <w:t>nove</w:t>
      </w:r>
      <w:r w:rsidRPr="00F915DA">
        <w:rPr>
          <w:rFonts w:ascii="Verdana" w:hAnsi="Verdana"/>
          <w:b/>
          <w:sz w:val="18"/>
          <w:szCs w:val="18"/>
        </w:rPr>
        <w:t>) meses</w:t>
      </w:r>
      <w:r w:rsidRPr="00F915DA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F915DA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F915DA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F915DA">
        <w:rPr>
          <w:rFonts w:ascii="Verdana" w:hAnsi="Verdana"/>
          <w:b/>
          <w:sz w:val="18"/>
          <w:szCs w:val="18"/>
        </w:rPr>
        <w:t xml:space="preserve"> </w:t>
      </w:r>
      <w:r w:rsidR="00F915DA" w:rsidRPr="00F915DA">
        <w:rPr>
          <w:rFonts w:ascii="Verdana" w:hAnsi="Verdana"/>
          <w:b/>
          <w:sz w:val="18"/>
          <w:szCs w:val="18"/>
        </w:rPr>
        <w:t>05</w:t>
      </w:r>
      <w:r w:rsidRPr="00F915DA">
        <w:rPr>
          <w:rFonts w:ascii="Verdana" w:hAnsi="Verdana"/>
          <w:bCs/>
          <w:sz w:val="18"/>
          <w:szCs w:val="18"/>
        </w:rPr>
        <w:t xml:space="preserve"> </w:t>
      </w:r>
      <w:r w:rsidRPr="00F915DA">
        <w:rPr>
          <w:rFonts w:ascii="Verdana" w:hAnsi="Verdana"/>
          <w:b/>
          <w:sz w:val="18"/>
          <w:szCs w:val="18"/>
        </w:rPr>
        <w:t>(</w:t>
      </w:r>
      <w:r w:rsidR="00F915DA" w:rsidRPr="00F915DA">
        <w:rPr>
          <w:rFonts w:ascii="Verdana" w:hAnsi="Verdana"/>
          <w:b/>
          <w:sz w:val="18"/>
          <w:szCs w:val="18"/>
        </w:rPr>
        <w:t>cinco</w:t>
      </w:r>
      <w:r w:rsidRPr="00F915DA">
        <w:rPr>
          <w:rFonts w:ascii="Verdana" w:hAnsi="Verdana"/>
          <w:b/>
          <w:sz w:val="18"/>
          <w:szCs w:val="18"/>
        </w:rPr>
        <w:t xml:space="preserve">) meses, </w:t>
      </w:r>
      <w:r w:rsidRPr="00F915DA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F915DA">
        <w:rPr>
          <w:rFonts w:ascii="Verdana" w:hAnsi="Verdana"/>
          <w:sz w:val="18"/>
          <w:szCs w:val="18"/>
        </w:rPr>
        <w:t>n</w:t>
      </w:r>
      <w:r w:rsidRPr="00F915DA">
        <w:rPr>
          <w:rFonts w:ascii="Verdana" w:hAnsi="Verdana"/>
          <w:sz w:val="18"/>
          <w:szCs w:val="18"/>
        </w:rPr>
        <w:t xml:space="preserve">forme consta na Carta Proposta da </w:t>
      </w:r>
      <w:r w:rsidRPr="00F915DA">
        <w:rPr>
          <w:rFonts w:ascii="Verdana" w:hAnsi="Verdana"/>
          <w:i/>
          <w:sz w:val="18"/>
          <w:szCs w:val="18"/>
        </w:rPr>
        <w:t>CONTRATADA</w:t>
      </w:r>
      <w:r w:rsidRPr="00F915DA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que estiver sem uniforme ou sem o equipamento de segurança individual necessário, ou ainda, 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e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será notificada, quando defeitos forem constatados na obra, durante o prazo de garantia q</w:t>
      </w:r>
      <w:r w:rsidR="00500326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inq</w:t>
      </w:r>
      <w:r w:rsidR="00500326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</w:t>
            </w:r>
            <w:r w:rsidR="00500326">
              <w:rPr>
                <w:rFonts w:ascii="Verdana" w:hAnsi="Verdana"/>
                <w:sz w:val="18"/>
                <w:szCs w:val="18"/>
              </w:rPr>
              <w:t>u</w:t>
            </w:r>
            <w:r w:rsidRPr="005A76DC">
              <w:rPr>
                <w:rFonts w:ascii="Verdana" w:hAnsi="Verdana"/>
                <w:sz w:val="18"/>
                <w:szCs w:val="18"/>
              </w:rPr>
              <w:t>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determinação formal ou instrução da FISCALIZAÇÃO, por 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>, não têm caráter compensatório, e conseq</w:t>
      </w:r>
      <w:r w:rsidR="00500326">
        <w:rPr>
          <w:rFonts w:ascii="Verdana" w:hAnsi="Verdana"/>
          <w:sz w:val="18"/>
          <w:szCs w:val="18"/>
        </w:rPr>
        <w:t>u</w:t>
      </w:r>
      <w:r w:rsidRPr="005A76DC">
        <w:rPr>
          <w:rFonts w:ascii="Verdana" w:hAnsi="Verdana"/>
          <w:sz w:val="18"/>
          <w:szCs w:val="18"/>
        </w:rPr>
        <w:t xml:space="preserve">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500326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F1" w:rsidRDefault="00DB05F1">
      <w:r>
        <w:separator/>
      </w:r>
    </w:p>
  </w:endnote>
  <w:endnote w:type="continuationSeparator" w:id="0">
    <w:p w:rsidR="00DB05F1" w:rsidRDefault="00DB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30EEC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430EEC">
      <w:rPr>
        <w:rStyle w:val="Nmerodepgina"/>
        <w:rFonts w:ascii="Verdana" w:hAnsi="Verdana"/>
        <w:noProof/>
        <w:sz w:val="16"/>
        <w:szCs w:val="16"/>
      </w:rPr>
      <w:t>13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F1" w:rsidRDefault="00DB05F1">
      <w:r>
        <w:separator/>
      </w:r>
    </w:p>
  </w:footnote>
  <w:footnote w:type="continuationSeparator" w:id="0">
    <w:p w:rsidR="00DB05F1" w:rsidRDefault="00DB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08639344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1B50FA">
      <w:rPr>
        <w:rFonts w:ascii="Verdana" w:hAnsi="Verdana"/>
        <w:sz w:val="16"/>
        <w:szCs w:val="16"/>
      </w:rPr>
      <w:t>23069.021.013/2018-61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3E0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Times New Roman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16BB2779"/>
    <w:multiLevelType w:val="multilevel"/>
    <w:tmpl w:val="1B8E9F34"/>
    <w:lvl w:ilvl="0">
      <w:start w:val="7"/>
      <w:numFmt w:val="decimal"/>
      <w:lvlText w:val="%1"/>
      <w:lvlJc w:val="left"/>
      <w:pPr>
        <w:ind w:left="435" w:hanging="435"/>
      </w:pPr>
      <w:rPr>
        <w:color w:val="FF0000"/>
      </w:rPr>
    </w:lvl>
    <w:lvl w:ilvl="1">
      <w:start w:val="4"/>
      <w:numFmt w:val="decimal"/>
      <w:lvlText w:val="%1.%2"/>
      <w:lvlJc w:val="left"/>
      <w:pPr>
        <w:ind w:left="789" w:hanging="434"/>
      </w:pPr>
      <w:rPr>
        <w:color w:val="000000"/>
      </w:rPr>
    </w:lvl>
    <w:lvl w:ilvl="2">
      <w:start w:val="4"/>
      <w:numFmt w:val="decimal"/>
      <w:lvlText w:val="%1.%2.%3"/>
      <w:lvlJc w:val="left"/>
      <w:pPr>
        <w:ind w:left="1428" w:hanging="719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color w:val="FF0000"/>
      </w:r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4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5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5E6"/>
    <w:rsid w:val="001A16DF"/>
    <w:rsid w:val="001A49E4"/>
    <w:rsid w:val="001A60C2"/>
    <w:rsid w:val="001B03DB"/>
    <w:rsid w:val="001B50FA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0EEC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326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2658"/>
    <w:rsid w:val="0061573B"/>
    <w:rsid w:val="00617752"/>
    <w:rsid w:val="006237C5"/>
    <w:rsid w:val="00625A64"/>
    <w:rsid w:val="0063417E"/>
    <w:rsid w:val="0064355A"/>
    <w:rsid w:val="00645821"/>
    <w:rsid w:val="006608F0"/>
    <w:rsid w:val="006628DB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D75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552D1"/>
    <w:rsid w:val="009636F6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453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05F1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15D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662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6431</Words>
  <Characters>34733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41082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8</cp:revision>
  <cp:lastPrinted>2019-01-10T17:29:00Z</cp:lastPrinted>
  <dcterms:created xsi:type="dcterms:W3CDTF">2018-03-22T14:19:00Z</dcterms:created>
  <dcterms:modified xsi:type="dcterms:W3CDTF">2019-01-10T17:29:00Z</dcterms:modified>
</cp:coreProperties>
</file>