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AA" w:rsidRDefault="00613FAA">
      <w:pPr>
        <w:spacing w:after="0"/>
        <w:rPr>
          <w:rFonts w:cstheme="minorHAnsi"/>
          <w:sz w:val="18"/>
          <w:szCs w:val="18"/>
        </w:rPr>
      </w:pPr>
    </w:p>
    <w:p w:rsidR="00613FAA" w:rsidRPr="0087442B" w:rsidRDefault="0087442B">
      <w:pPr>
        <w:spacing w:after="0"/>
        <w:jc w:val="center"/>
        <w:rPr>
          <w:rFonts w:cstheme="minorHAnsi"/>
          <w:b/>
        </w:rPr>
      </w:pPr>
      <w:r w:rsidRPr="0087442B">
        <w:rPr>
          <w:rFonts w:cstheme="minorHAnsi"/>
          <w:b/>
        </w:rPr>
        <w:t>ANEXO IV</w:t>
      </w:r>
      <w:r w:rsidR="00734303" w:rsidRPr="0087442B">
        <w:rPr>
          <w:rFonts w:cstheme="minorHAnsi"/>
          <w:b/>
        </w:rPr>
        <w:t xml:space="preserve">- INDICE DE MEDIÇÃO DE RESULTADO </w:t>
      </w:r>
      <w:r w:rsidR="00734303" w:rsidRPr="0087442B">
        <w:rPr>
          <w:rFonts w:eastAsia="Arial" w:cstheme="minorHAnsi"/>
          <w:b/>
          <w:bCs/>
        </w:rPr>
        <w:t>(IMR)</w:t>
      </w:r>
    </w:p>
    <w:p w:rsidR="00613FAA" w:rsidRDefault="00613FAA">
      <w:pPr>
        <w:pStyle w:val="PargrafodaLista1"/>
        <w:spacing w:line="276" w:lineRule="auto"/>
        <w:jc w:val="both"/>
        <w:rPr>
          <w:rStyle w:val="Fontepargpadro6"/>
          <w:rFonts w:asciiTheme="minorHAnsi" w:hAnsiTheme="minorHAnsi" w:cstheme="minorHAnsi"/>
          <w:sz w:val="18"/>
          <w:szCs w:val="18"/>
        </w:rPr>
      </w:pPr>
    </w:p>
    <w:p w:rsidR="00613FAA" w:rsidRPr="0087442B" w:rsidRDefault="00734303">
      <w:pPr>
        <w:pStyle w:val="PargrafodaLista1"/>
        <w:spacing w:line="276" w:lineRule="auto"/>
        <w:jc w:val="both"/>
        <w:rPr>
          <w:rStyle w:val="Fontepargpadro6"/>
          <w:rFonts w:asciiTheme="minorHAnsi" w:hAnsiTheme="minorHAnsi" w:cstheme="minorHAnsi"/>
          <w:color w:val="000000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1. A GESTÃO INTEGRADA DA INFRAESTRUTURA deverá ter como base os princípios da Gestão </w:t>
      </w:r>
      <w:r w:rsidRPr="0087442B">
        <w:rPr>
          <w:rStyle w:val="Fontepargpadro6"/>
          <w:rFonts w:asciiTheme="minorHAnsi" w:hAnsiTheme="minorHAnsi" w:cstheme="minorHAnsi"/>
          <w:color w:val="000000"/>
          <w:sz w:val="20"/>
          <w:szCs w:val="20"/>
        </w:rPr>
        <w:t>Integrada por Resultados, prestando o melhor serviço a fim de proporcionar uma melhoria contínua no ambiente físico e equipamentos da UFF.</w:t>
      </w:r>
    </w:p>
    <w:p w:rsidR="00613FAA" w:rsidRPr="0087442B" w:rsidRDefault="00734303">
      <w:pPr>
        <w:pStyle w:val="PargrafodaLista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4. O modelo de gestão a ser implementado na UFF deve ser sistêmico no que tange à integração de todas as áreas necessárias ao seu pleno funcionamento, sendo responsável tanto pela infraestrutura e equipamentos quanto pelo seu funcionamento operacional.</w:t>
      </w:r>
    </w:p>
    <w:p w:rsidR="00613FAA" w:rsidRPr="0087442B" w:rsidRDefault="00734303">
      <w:pPr>
        <w:pStyle w:val="PargrafodaLista1"/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5. O modelo de gestão proposto pela empresa Contratada deverá, para fins de organização, dividir-se em 3 (três) grandes segmentos, conforme informado no item 3, porém todos os segmentos serão integrados e dependentes entre si para o pleno monitoramento e funcionamento de toda a UNIVERSIDADE FEDERAL FLUMINENSE em tempo integral 24h por dia.</w:t>
      </w:r>
    </w:p>
    <w:p w:rsidR="00613FAA" w:rsidRPr="0087442B" w:rsidRDefault="00734303">
      <w:pPr>
        <w:pStyle w:val="PargrafodaLista1"/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6. Será de responsabilidade da Contratada coordenar e executar em tempo integral os serviços descritos para cada posto de trabalho e as rotinas de manutenção predial, conforme Encarte B deste Termo.</w:t>
      </w:r>
    </w:p>
    <w:p w:rsidR="00613FAA" w:rsidRPr="0087442B" w:rsidRDefault="00734303">
      <w:pPr>
        <w:pStyle w:val="PargrafodaLista1"/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7. Cada segmento de serviço terá sua rotina própria e definida de acordo com os requisitos e Acordos de Níveis de Serviço mínimos definidos neste Termo.</w:t>
      </w:r>
    </w:p>
    <w:p w:rsidR="00613FAA" w:rsidRPr="0087442B" w:rsidRDefault="00734303">
      <w:pPr>
        <w:pStyle w:val="PargrafodaLista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8. O </w:t>
      </w:r>
      <w:r w:rsidR="0087442B">
        <w:rPr>
          <w:rStyle w:val="Fontepargpadro6"/>
          <w:rFonts w:asciiTheme="minorHAnsi" w:hAnsiTheme="minorHAnsi" w:cstheme="minorHAnsi"/>
          <w:sz w:val="20"/>
          <w:szCs w:val="20"/>
        </w:rPr>
        <w:t>Instrumento de Medição de Resultados (IMR)</w:t>
      </w: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 corresponde a cada uma das categorias abaixo, conforme o tipo e a dificuldade para a execução dos serviços de manutenção.</w:t>
      </w:r>
    </w:p>
    <w:p w:rsidR="00613FAA" w:rsidRPr="0087442B" w:rsidRDefault="00613FAA">
      <w:pPr>
        <w:pStyle w:val="PargrafodaLista1"/>
        <w:tabs>
          <w:tab w:val="left" w:pos="2552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613FAA" w:rsidRPr="0087442B" w:rsidRDefault="00734303">
      <w:pPr>
        <w:pStyle w:val="PargrafodaLista1"/>
        <w:tabs>
          <w:tab w:val="left" w:pos="2552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bCs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Cs/>
          <w:sz w:val="20"/>
          <w:szCs w:val="20"/>
        </w:rPr>
        <w:t>8.1. Grau de Manutenção:</w:t>
      </w:r>
    </w:p>
    <w:p w:rsidR="00613FAA" w:rsidRPr="0087442B" w:rsidRDefault="00613FAA">
      <w:pPr>
        <w:pStyle w:val="PargrafodaLista1"/>
        <w:tabs>
          <w:tab w:val="left" w:pos="2552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</w:p>
    <w:tbl>
      <w:tblPr>
        <w:tblW w:w="6277" w:type="dxa"/>
        <w:tblInd w:w="2243" w:type="dxa"/>
        <w:tblCellMar>
          <w:left w:w="113" w:type="dxa"/>
        </w:tblCellMar>
        <w:tblLook w:val="0000"/>
      </w:tblPr>
      <w:tblGrid>
        <w:gridCol w:w="1276"/>
        <w:gridCol w:w="5001"/>
      </w:tblGrid>
      <w:tr w:rsidR="00613FAA" w:rsidRPr="0087442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1º GRAU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Manutenção preventiva, aplicada aos sistemas, no todo ou em parte, caracterizada por sua simplicidade</w:t>
            </w:r>
          </w:p>
        </w:tc>
      </w:tr>
      <w:tr w:rsidR="00613FAA" w:rsidRPr="0087442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2º GRAU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Manutenção preventiva, aplicada aos sistemas, no todo ou em parte, caracterizada por sua maior complexidade tecnológica, envolvendo apenas os recursos disponíveis ou anteriormente previstos para sua execução</w:t>
            </w:r>
          </w:p>
        </w:tc>
      </w:tr>
      <w:tr w:rsidR="00613FAA" w:rsidRPr="0087442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3º GRAU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Manutenção corretiva aplicada aos sistemas, no todo ou em parte, de relativa simplicidade envolvendo apenas os recursos disponíveis ou anteriormente previstos para sua execução</w:t>
            </w:r>
          </w:p>
        </w:tc>
      </w:tr>
    </w:tbl>
    <w:p w:rsidR="00613FAA" w:rsidRPr="0087442B" w:rsidRDefault="00613FAA">
      <w:pPr>
        <w:pStyle w:val="PargrafodaLista1"/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13FAA" w:rsidRPr="0087442B" w:rsidRDefault="00613FAA">
      <w:pPr>
        <w:pStyle w:val="PargrafodaLista1"/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13FAA" w:rsidRPr="0087442B" w:rsidRDefault="00613FAA">
      <w:pPr>
        <w:pStyle w:val="PargrafodaLista1"/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13FAA" w:rsidRPr="0087442B" w:rsidRDefault="00734303">
      <w:pPr>
        <w:pStyle w:val="PargrafodaLista1"/>
        <w:tabs>
          <w:tab w:val="left" w:pos="2552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bCs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Cs/>
          <w:sz w:val="20"/>
          <w:szCs w:val="20"/>
        </w:rPr>
        <w:t>8.2. Níveis de Situação Anormal:</w:t>
      </w:r>
    </w:p>
    <w:p w:rsidR="00613FAA" w:rsidRPr="0087442B" w:rsidRDefault="00734303">
      <w:pPr>
        <w:pStyle w:val="PargrafodaLista1"/>
        <w:tabs>
          <w:tab w:val="left" w:pos="2552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Cs/>
          <w:sz w:val="20"/>
          <w:szCs w:val="20"/>
        </w:rPr>
        <w:t xml:space="preserve">8.2.1. </w:t>
      </w: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É a graduação de consequências que as falhas e defeitos poderão acarretar nos equipamentos ou nos sistemas.</w:t>
      </w:r>
    </w:p>
    <w:p w:rsidR="00613FAA" w:rsidRPr="0087442B" w:rsidRDefault="00613FAA">
      <w:pPr>
        <w:pStyle w:val="PargrafodaLista1"/>
        <w:tabs>
          <w:tab w:val="left" w:pos="2552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</w:p>
    <w:tbl>
      <w:tblPr>
        <w:tblW w:w="6376" w:type="dxa"/>
        <w:tblInd w:w="2243" w:type="dxa"/>
        <w:tblCellMar>
          <w:left w:w="113" w:type="dxa"/>
        </w:tblCellMar>
        <w:tblLook w:val="0000"/>
      </w:tblPr>
      <w:tblGrid>
        <w:gridCol w:w="2047"/>
        <w:gridCol w:w="4329"/>
      </w:tblGrid>
      <w:tr w:rsidR="00613FAA" w:rsidRPr="0087442B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 xml:space="preserve">Nível I </w:t>
            </w:r>
          </w:p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Emergência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Ocorrência de defeito ou falha num equipamento, componente ou sistema que resulte na paralisação parcial ou total de atividades operacionais da UFF.</w:t>
            </w:r>
          </w:p>
        </w:tc>
      </w:tr>
      <w:tr w:rsidR="00613FAA" w:rsidRPr="0087442B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 xml:space="preserve">Nível II </w:t>
            </w:r>
          </w:p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lastRenderedPageBreak/>
              <w:t>Alerta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Ocorrência de defeito ou falha em equipamento, </w:t>
            </w: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lastRenderedPageBreak/>
              <w:t>componente ou sistema que poderá acarretar uma situação de Nível I</w:t>
            </w:r>
          </w:p>
        </w:tc>
      </w:tr>
      <w:tr w:rsidR="00613FAA" w:rsidRPr="0087442B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Nível III </w:t>
            </w:r>
          </w:p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Falha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Ocorrência de falha em equipamento, componente ou sistema, mas sem atingir as consequências do Nível II</w:t>
            </w:r>
          </w:p>
        </w:tc>
      </w:tr>
    </w:tbl>
    <w:p w:rsidR="00613FAA" w:rsidRPr="0087442B" w:rsidRDefault="00613FAA">
      <w:pPr>
        <w:pStyle w:val="PargrafodaLista1"/>
        <w:tabs>
          <w:tab w:val="left" w:pos="2552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613FAA" w:rsidRPr="0087442B" w:rsidRDefault="00734303">
      <w:pPr>
        <w:pStyle w:val="PargrafodaLista1"/>
        <w:tabs>
          <w:tab w:val="left" w:pos="2552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bCs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Cs/>
          <w:sz w:val="20"/>
          <w:szCs w:val="20"/>
        </w:rPr>
        <w:t>8.3. Tempo de Atendimento:</w:t>
      </w:r>
    </w:p>
    <w:p w:rsidR="00613FAA" w:rsidRPr="0087442B" w:rsidRDefault="00734303">
      <w:pPr>
        <w:pStyle w:val="PargrafodaLista1"/>
        <w:tabs>
          <w:tab w:val="left" w:pos="2552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Cs/>
          <w:sz w:val="20"/>
          <w:szCs w:val="20"/>
        </w:rPr>
        <w:t xml:space="preserve">8.3.1. </w:t>
      </w: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É o tempo ou período determinado para mobilização pela Contratada dos recursos necessários visando sanar um defeito ou falha. A medição do tempo de atendimento será a diferença entre o horário da abertura do chamado na CMA/SOMA e o horário de chegada de profissional de manutenção ao local da ocorrência.</w:t>
      </w:r>
    </w:p>
    <w:p w:rsidR="00613FAA" w:rsidRPr="0087442B" w:rsidRDefault="00734303">
      <w:pPr>
        <w:pStyle w:val="PargrafodaLista1"/>
        <w:tabs>
          <w:tab w:val="left" w:pos="2552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8.3.2. De acordo com os níveis de Situação Anormal o tempo de atendimento das equipes de manutenção corretiva deverá ser de:</w:t>
      </w:r>
    </w:p>
    <w:tbl>
      <w:tblPr>
        <w:tblW w:w="2725" w:type="dxa"/>
        <w:tblInd w:w="4595" w:type="dxa"/>
        <w:tblCellMar>
          <w:left w:w="113" w:type="dxa"/>
        </w:tblCellMar>
        <w:tblLook w:val="0000"/>
      </w:tblPr>
      <w:tblGrid>
        <w:gridCol w:w="1051"/>
        <w:gridCol w:w="1674"/>
      </w:tblGrid>
      <w:tr w:rsidR="00613FAA" w:rsidRPr="0087442B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 xml:space="preserve">Nível I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Até 90 minutos</w:t>
            </w:r>
          </w:p>
        </w:tc>
      </w:tr>
      <w:tr w:rsidR="00613FAA" w:rsidRPr="0087442B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Nível II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Até 120 minutos</w:t>
            </w:r>
          </w:p>
        </w:tc>
      </w:tr>
      <w:tr w:rsidR="00613FAA" w:rsidRPr="0087442B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ind w:right="34"/>
              <w:jc w:val="center"/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 xml:space="preserve">Nível III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AA" w:rsidRPr="0087442B" w:rsidRDefault="00734303">
            <w:pPr>
              <w:pStyle w:val="PargrafodaLista1"/>
              <w:tabs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442B">
              <w:rPr>
                <w:rStyle w:val="Fontepargpadro6"/>
                <w:rFonts w:asciiTheme="minorHAnsi" w:hAnsiTheme="minorHAnsi" w:cstheme="minorHAnsi"/>
                <w:sz w:val="20"/>
                <w:szCs w:val="20"/>
              </w:rPr>
              <w:t>Até 180 minutos</w:t>
            </w:r>
          </w:p>
        </w:tc>
      </w:tr>
    </w:tbl>
    <w:p w:rsidR="00613FAA" w:rsidRPr="0087442B" w:rsidRDefault="00613FAA">
      <w:pPr>
        <w:pStyle w:val="PargrafodaLista1"/>
        <w:tabs>
          <w:tab w:val="left" w:pos="850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 O relatório técnico mensal de atividades deverá ser entregue até o quinto dia útil do mês subsequente, comprovado através de protocolo assinado pela Contratante. Caso o prazo não seja cumprido, a glosa a ser aplicada será de 5% sobre a fatura mensal.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 O relatório técnico mensal de todos os serviços executados deverá estar devidamente assinado pelos profissionais envolvidos, contendo: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9.1.1. Nome e função dos profissionais alocados para execução dos serviços no mês de referência do relatório;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9.1.2. Descrição dos serviços preventivos e corretivos executados no mês, bem como falhas de testes, incluindo a data, o horário e o local dos mesmos;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9.1.2. Relação de peças, componentes e materiais substituídos por defeito/desgaste ou utilizadas em ampliações/modificações;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9.1.3. Relação de serviços em andamento com estimativa de prazo de conclusão, e a executar com estimativa de prazo de início;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9.1.4. Leitura dos instrumentos de medida antes e depois dos serviços;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9.1.5. Análise dos testes;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9.1.6. Resumo das anormalidades e dos fatos ocorridos no período, incluindo a falta de energia e picos de consumo de energia;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9.1.7. Relação de pendências, razões de sua existência e quais destas dependem de solução do Contratante;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9.1.8. Acidentes de trabalho porventura ocorridos e suas causas;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9.1.9. Estudos e levantamentos realizados;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9.1.10. Informações sobre a situação dos sistemas e equipamentos, indicando deficiências;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9.1.11. Sugestões de modificações nas instalações, objetivando otimizar os sistemas e economizar energia;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144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9.1.12. Dados relevantes registrados no Livro de Ocorrências;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10. Todas as rotinas e </w:t>
      </w:r>
      <w:r w:rsidR="0087442B">
        <w:rPr>
          <w:rStyle w:val="Fontepargpadro6"/>
          <w:rFonts w:asciiTheme="minorHAnsi" w:hAnsiTheme="minorHAnsi" w:cstheme="minorHAnsi"/>
          <w:sz w:val="20"/>
          <w:szCs w:val="20"/>
        </w:rPr>
        <w:t>Instrumento de Medição de Resultados (IMR)</w:t>
      </w: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 possuem elementos e princípios oriundos do conceito de Gestão Integrada, tais como: celeridade, atenção e integralidade do atendimento ao cliente </w:t>
      </w: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lastRenderedPageBreak/>
        <w:t>paciente, usuário e colaborador, buscando humanização do atendimento e otimização da força de trabalho com padronização dos serviços.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11. Todas as recomendações de conformidade e readequação das rotinas executadas pela Contratada serão informadas por está à Contratante, que deverá colaborar no que couber com relação ao cumprimento destas, sobretudo quando se tratar de funcionários ou servidores que não pertençam ao quadro de pessoal da Contratada.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12. A Contratada deverá utilizar canais de comunicação e, a critério a ser definido junto à Contratante, promover treinamentos e palestras através de equipes interdisciplinares que atuarão junto aos servidores e empregados públicos da UFF, a fim de conscientizar a todos dos novos parâmetros e políticas de gestão integrada de manutenção.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13. Deverão ser considerados como serviços a serem executadas todas as rotinas, informações e recomendações contidas nos Boletins Técnicos, Catálogos, Manuais de Operação e de Manutenção dos fabricantes dos equipamentos em questão.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14. Nos finais de semana, feriados e após o expediente normal de serviços, os plantonistas deverão estar equipados com rádios de comunicação, podendo assim ser acionados em qualquer emergência.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14.1. Caberá à Contratada manter uma equipe de plantão (no mínimo o bombeiro hidráulico e o eletricista) para garantir a disponibilidade de atendimento rápido em caso de necessidade de execução de manutenção corretiva.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15. A Contratada deverá fornecer o livro de registros de manutenção e submeter o modelo que pretende utilizar para análise da Fiscalização do Contrato até 10 (dez) dias úteis após a assinatura do Contrato.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15.1. O Livro de Registro deve ter suas páginas numeradas na forma de um Livro Ata.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15.2. Deverão ser registradas no Livro as seguintes informações: data e período da solicitação, solicitante, equipamento/instalação envolvida, tipo de ação realizada e descrição e quantitativo das peças e materiais substituídos/utilizados.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15.3. Todos os relatos no livro deverão exibir a identificação e a assinatura do responsável pelas informações apresentadas.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15.4.Caso não haja ocorrência no dia, deverá ser anotada a data e a expressão “sem ocorrências”.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15.5. O Livro deverá ser assinado mensalmente pelos engenheiros responsáveis técnicos pelo Contrato, anotada a expressão “fechamento do mês”.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15.6. O volume em aberto bem como o volume encerrado deverão permanecer sempre na CMA/SOMA para consulta ou arquivamento.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15.7. Se previamente aprovado pela Fiscalização, a Contratada poderá adotar meio eletrônico alternativo para registro, desde que esse seja tecnicamente compatível.</w:t>
      </w:r>
    </w:p>
    <w:p w:rsidR="00613FAA" w:rsidRPr="0087442B" w:rsidRDefault="00613FAA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16. A remuneração dos serviços prestados na Gestão Integrada da Infraestrutura deverá ser constituída por remuneração fixa sendo, no entanto, permitido à Contratante descontar em até 15% (quinze por cento) do valor mensal do contrato. O percentual do desconto será mensurado de acordo com os critérios abaixo descritos: </w:t>
      </w:r>
    </w:p>
    <w:p w:rsidR="00613FAA" w:rsidRPr="0087442B" w:rsidRDefault="00613FAA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b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16.1. Tempo de atendimento de Ordens de Serviço Corretivas: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/>
          <w:sz w:val="20"/>
          <w:szCs w:val="20"/>
        </w:rPr>
        <w:t>AOSC (%) = QTosa / QTos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Sendo que: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Se AOSC (%) &lt; 95%, o VTD (%) = 5%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Se AOSC (%) &gt; 95%, o VTD (%) = 0%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Onde,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lastRenderedPageBreak/>
        <w:t xml:space="preserve">AOSC (%) = Percentual Inicial de Ordens de Serviço Corretivas atendidas;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QTos = Quantidade de Ordens de Serviço Corretivas solicitadas;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QTosa = Quantidade de Ordens de Serviço Corretivas atendidas;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VTD = Percentual do desconto a ser aplicado sobre a fatura mensal.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b/>
          <w:bCs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/>
          <w:bCs/>
          <w:sz w:val="20"/>
          <w:szCs w:val="20"/>
        </w:rPr>
        <w:t>Obs.: consideram-se OS’s atendidas todas aquelas que forem finalizadas dentro dos prazos estipulados.</w:t>
      </w:r>
    </w:p>
    <w:p w:rsidR="00613FAA" w:rsidRPr="0087442B" w:rsidRDefault="00613FAA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16.2. Manutenção preventiva: </w:t>
      </w:r>
    </w:p>
    <w:p w:rsidR="00613FAA" w:rsidRPr="0087442B" w:rsidRDefault="00613FAA">
      <w:pPr>
        <w:pStyle w:val="PargrafodaLista1"/>
        <w:tabs>
          <w:tab w:val="left" w:pos="8505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b/>
          <w:sz w:val="20"/>
          <w:szCs w:val="20"/>
        </w:rPr>
        <w:t>MPE (%) = QTmpe / QTmpp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Sendo que: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se MPE (%) &lt; 95%, o VTD (%) = 5%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center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>se MPE (%) &gt; 95%, o VTD (%) = 0%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Onde,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MPE (%) = Percentual Inicial de Ordens de Serviço Preventivas executadas;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QTmpe = Quantidade de Ordens de Serviço Preventivas executadas; </w:t>
      </w:r>
    </w:p>
    <w:p w:rsidR="00613FAA" w:rsidRPr="0087442B" w:rsidRDefault="00734303">
      <w:pPr>
        <w:pStyle w:val="PargrafodaLista1"/>
        <w:tabs>
          <w:tab w:val="left" w:pos="8505"/>
        </w:tabs>
        <w:spacing w:line="276" w:lineRule="auto"/>
        <w:jc w:val="both"/>
        <w:rPr>
          <w:rStyle w:val="Fontepargpadro6"/>
          <w:rFonts w:asciiTheme="minorHAnsi" w:hAnsiTheme="minorHAnsi" w:cstheme="minorHAnsi"/>
          <w:sz w:val="20"/>
          <w:szCs w:val="20"/>
        </w:rPr>
      </w:pPr>
      <w:r w:rsidRPr="0087442B">
        <w:rPr>
          <w:rStyle w:val="Fontepargpadro6"/>
          <w:rFonts w:asciiTheme="minorHAnsi" w:hAnsiTheme="minorHAnsi" w:cstheme="minorHAnsi"/>
          <w:sz w:val="20"/>
          <w:szCs w:val="20"/>
        </w:rPr>
        <w:t xml:space="preserve">QTmpp = Quantidade de Ordens de Serviço Preventivas programadas; </w:t>
      </w:r>
    </w:p>
    <w:p w:rsidR="00613FAA" w:rsidRPr="0087442B" w:rsidRDefault="00734303">
      <w:pPr>
        <w:rPr>
          <w:rFonts w:cstheme="minorHAnsi"/>
          <w:sz w:val="20"/>
          <w:szCs w:val="20"/>
        </w:rPr>
      </w:pPr>
      <w:r w:rsidRPr="0087442B">
        <w:rPr>
          <w:rStyle w:val="Fontepargpadro6"/>
          <w:rFonts w:cstheme="minorHAnsi"/>
          <w:sz w:val="20"/>
          <w:szCs w:val="20"/>
        </w:rPr>
        <w:t>VTD = Percentual do desconto a ser aplicado sobre a fatura mensal.</w:t>
      </w:r>
    </w:p>
    <w:p w:rsidR="00613FAA" w:rsidRPr="0087442B" w:rsidRDefault="00613FAA">
      <w:pPr>
        <w:rPr>
          <w:rFonts w:cstheme="minorHAnsi"/>
          <w:sz w:val="20"/>
          <w:szCs w:val="20"/>
        </w:rPr>
      </w:pPr>
    </w:p>
    <w:p w:rsidR="00613FAA" w:rsidRPr="0087442B" w:rsidRDefault="00734303">
      <w:pPr>
        <w:rPr>
          <w:rFonts w:cstheme="minorHAnsi"/>
          <w:sz w:val="20"/>
          <w:szCs w:val="20"/>
        </w:rPr>
      </w:pPr>
      <w:r w:rsidRPr="0087442B">
        <w:rPr>
          <w:rFonts w:cstheme="minorHAnsi"/>
          <w:color w:val="FF0000"/>
          <w:sz w:val="20"/>
          <w:szCs w:val="20"/>
        </w:rPr>
        <w:t xml:space="preserve">Niterói, </w:t>
      </w:r>
      <w:r w:rsidR="00EB7ED1">
        <w:rPr>
          <w:rFonts w:cstheme="minorHAnsi"/>
          <w:color w:val="FF0000"/>
          <w:sz w:val="20"/>
          <w:szCs w:val="20"/>
        </w:rPr>
        <w:t>31</w:t>
      </w:r>
      <w:r w:rsidRPr="0087442B">
        <w:rPr>
          <w:rFonts w:cstheme="minorHAnsi"/>
          <w:color w:val="FF0000"/>
          <w:sz w:val="20"/>
          <w:szCs w:val="20"/>
        </w:rPr>
        <w:t xml:space="preserve"> de </w:t>
      </w:r>
      <w:r w:rsidR="00EB7ED1">
        <w:rPr>
          <w:rFonts w:cstheme="minorHAnsi"/>
          <w:color w:val="FF0000"/>
          <w:sz w:val="20"/>
          <w:szCs w:val="20"/>
        </w:rPr>
        <w:t>março</w:t>
      </w:r>
      <w:r w:rsidRPr="0087442B">
        <w:rPr>
          <w:rFonts w:cstheme="minorHAnsi"/>
          <w:color w:val="FF0000"/>
          <w:sz w:val="20"/>
          <w:szCs w:val="20"/>
        </w:rPr>
        <w:t xml:space="preserve"> de 20</w:t>
      </w:r>
      <w:r w:rsidR="00EB7ED1">
        <w:rPr>
          <w:rFonts w:cstheme="minorHAnsi"/>
          <w:color w:val="FF0000"/>
          <w:sz w:val="20"/>
          <w:szCs w:val="20"/>
        </w:rPr>
        <w:t>20</w:t>
      </w:r>
      <w:r w:rsidRPr="0087442B">
        <w:rPr>
          <w:rFonts w:cstheme="minorHAnsi"/>
          <w:sz w:val="20"/>
          <w:szCs w:val="20"/>
        </w:rPr>
        <w:t>.</w:t>
      </w:r>
    </w:p>
    <w:p w:rsidR="00613FAA" w:rsidRDefault="00613FAA">
      <w:pPr>
        <w:rPr>
          <w:rFonts w:cstheme="minorHAnsi"/>
          <w:sz w:val="18"/>
          <w:szCs w:val="18"/>
        </w:rPr>
      </w:pPr>
    </w:p>
    <w:p w:rsidR="00613FAA" w:rsidRDefault="00613FAA">
      <w:p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:rsidR="00EB7ED1" w:rsidRPr="00BE563D" w:rsidRDefault="00EB7ED1" w:rsidP="00EB7ED1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B7ED1" w:rsidRPr="00465E73" w:rsidRDefault="00EB7ED1" w:rsidP="00EB7ED1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[Assinatura]</w:t>
      </w:r>
    </w:p>
    <w:p w:rsidR="00613FAA" w:rsidRDefault="00613FAA">
      <w:pPr>
        <w:rPr>
          <w:rFonts w:cstheme="minorHAnsi"/>
          <w:sz w:val="18"/>
          <w:szCs w:val="18"/>
        </w:rPr>
      </w:pPr>
      <w:bookmarkStart w:id="0" w:name="_GoBack"/>
      <w:bookmarkEnd w:id="0"/>
    </w:p>
    <w:sectPr w:rsidR="00613FAA" w:rsidSect="0087442B">
      <w:headerReference w:type="default" r:id="rId6"/>
      <w:pgSz w:w="11906" w:h="16838"/>
      <w:pgMar w:top="1417" w:right="1701" w:bottom="1417" w:left="1276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278" w:rsidRDefault="00A36278">
      <w:pPr>
        <w:spacing w:after="0" w:line="240" w:lineRule="auto"/>
      </w:pPr>
      <w:r>
        <w:separator/>
      </w:r>
    </w:p>
  </w:endnote>
  <w:endnote w:type="continuationSeparator" w:id="1">
    <w:p w:rsidR="00A36278" w:rsidRDefault="00A3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278" w:rsidRDefault="00A36278">
      <w:pPr>
        <w:spacing w:after="0" w:line="240" w:lineRule="auto"/>
      </w:pPr>
      <w:r>
        <w:separator/>
      </w:r>
    </w:p>
  </w:footnote>
  <w:footnote w:type="continuationSeparator" w:id="1">
    <w:p w:rsidR="00A36278" w:rsidRDefault="00A3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176" w:type="dxa"/>
      <w:tblLayout w:type="fixed"/>
      <w:tblLook w:val="0000"/>
    </w:tblPr>
    <w:tblGrid>
      <w:gridCol w:w="7230"/>
      <w:gridCol w:w="3544"/>
    </w:tblGrid>
    <w:tr w:rsidR="0087442B" w:rsidRPr="00541683" w:rsidTr="007517BD">
      <w:trPr>
        <w:cantSplit/>
        <w:trHeight w:val="1837"/>
      </w:trPr>
      <w:tc>
        <w:tcPr>
          <w:tcW w:w="7230" w:type="dxa"/>
          <w:shd w:val="clear" w:color="auto" w:fill="auto"/>
          <w:vAlign w:val="bottom"/>
        </w:tcPr>
        <w:p w:rsidR="0087442B" w:rsidRPr="00A02FDC" w:rsidRDefault="0087442B" w:rsidP="0087442B">
          <w:pPr>
            <w:pStyle w:val="Cabealho"/>
            <w:ind w:right="34"/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</w:pPr>
          <w:r w:rsidRPr="000D1EF9">
            <w:rPr>
              <w:rFonts w:ascii="Cambria" w:eastAsia="Calibri" w:hAnsi="Cambria" w:cs="Cambria"/>
              <w:b/>
              <w:noProof/>
              <w:color w:val="17365D" w:themeColor="text2" w:themeShade="BF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-409575</wp:posOffset>
                </wp:positionV>
                <wp:extent cx="1076325" cy="352425"/>
                <wp:effectExtent l="19050" t="0" r="9525" b="0"/>
                <wp:wrapNone/>
                <wp:docPr id="9" name="Imagem 9" descr="http://www.petroleo.uff.br/sites/default/files/uf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etroleo.uff.br/sites/default/files/uf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02FDC"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>UNIVERSIDADE FEDERAL FLUMINENSE</w:t>
          </w:r>
          <w:r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 xml:space="preserve"> - UFF</w:t>
          </w:r>
        </w:p>
        <w:p w:rsidR="0087442B" w:rsidRDefault="0087442B" w:rsidP="0087442B">
          <w:pPr>
            <w:pStyle w:val="Cabealho"/>
            <w:ind w:right="34"/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</w:pPr>
          <w:r w:rsidRPr="00A02FDC"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>SUPERINTENDÊNCIA</w:t>
          </w:r>
          <w:r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 xml:space="preserve"> DE OPERAÇÕES E MANUTENÇÃO - SOMA</w:t>
          </w:r>
        </w:p>
        <w:p w:rsidR="0087442B" w:rsidRPr="00782529" w:rsidRDefault="0087442B" w:rsidP="0087442B">
          <w:pPr>
            <w:pStyle w:val="Cabealho"/>
            <w:ind w:right="34"/>
            <w:rPr>
              <w:rFonts w:ascii="Cambria" w:eastAsia="Calibri" w:hAnsi="Cambria" w:cs="Cambria"/>
              <w:color w:val="17365D" w:themeColor="text2" w:themeShade="BF"/>
              <w:sz w:val="20"/>
            </w:rPr>
          </w:pPr>
          <w:r w:rsidRPr="00782529">
            <w:rPr>
              <w:rFonts w:ascii="Cambria" w:eastAsia="Calibri" w:hAnsi="Cambria" w:cs="Cambria"/>
              <w:color w:val="17365D" w:themeColor="text2" w:themeShade="BF"/>
              <w:sz w:val="20"/>
            </w:rPr>
            <w:t>Rua Prof. Marcos Waldemar de Freitas Reis s/nº, bloco B, 5º andar (setor ímpar)</w:t>
          </w:r>
        </w:p>
        <w:p w:rsidR="0087442B" w:rsidRDefault="0087442B" w:rsidP="0087442B">
          <w:pPr>
            <w:pStyle w:val="Cabealho"/>
            <w:ind w:right="34"/>
            <w:rPr>
              <w:rFonts w:ascii="Cambria" w:eastAsia="Calibri" w:hAnsi="Cambria" w:cs="Cambria"/>
              <w:color w:val="17365D" w:themeColor="text2" w:themeShade="BF"/>
              <w:sz w:val="20"/>
            </w:rPr>
          </w:pPr>
          <w:r w:rsidRPr="00782529">
            <w:rPr>
              <w:rFonts w:ascii="Cambria" w:eastAsia="Calibri" w:hAnsi="Cambria" w:cs="Cambria"/>
              <w:color w:val="17365D" w:themeColor="text2" w:themeShade="BF"/>
              <w:sz w:val="20"/>
            </w:rPr>
            <w:t>Campus Universitário do Gragoatá</w:t>
          </w:r>
          <w:r>
            <w:rPr>
              <w:rFonts w:ascii="Cambria" w:eastAsia="Calibri" w:hAnsi="Cambria" w:cs="Cambria"/>
              <w:color w:val="17365D" w:themeColor="text2" w:themeShade="BF"/>
              <w:sz w:val="20"/>
            </w:rPr>
            <w:t xml:space="preserve">, </w:t>
          </w:r>
          <w:r w:rsidRPr="00782529">
            <w:rPr>
              <w:rFonts w:ascii="Cambria" w:eastAsia="Calibri" w:hAnsi="Cambria" w:cs="Cambria"/>
              <w:color w:val="17365D" w:themeColor="text2" w:themeShade="BF"/>
              <w:sz w:val="20"/>
            </w:rPr>
            <w:t>São Domingos, Niterói, RJ - CEP 24210-201</w:t>
          </w:r>
          <w:r w:rsidRPr="00C4404A">
            <w:rPr>
              <w:rFonts w:ascii="Cambria" w:eastAsia="Calibri" w:hAnsi="Cambria" w:cs="Cambria"/>
              <w:color w:val="17365D" w:themeColor="text2" w:themeShade="BF"/>
              <w:sz w:val="20"/>
            </w:rPr>
            <w:t>.</w:t>
          </w:r>
        </w:p>
        <w:p w:rsidR="0087442B" w:rsidRPr="00631C2F" w:rsidRDefault="0087442B" w:rsidP="0087442B">
          <w:pPr>
            <w:pStyle w:val="Cabealho"/>
            <w:ind w:right="34"/>
          </w:pPr>
        </w:p>
      </w:tc>
      <w:tc>
        <w:tcPr>
          <w:tcW w:w="3544" w:type="dxa"/>
          <w:shd w:val="clear" w:color="auto" w:fill="auto"/>
          <w:vAlign w:val="center"/>
        </w:tcPr>
        <w:p w:rsidR="0087442B" w:rsidRDefault="0087442B" w:rsidP="0087442B">
          <w:pPr>
            <w:pStyle w:val="Cabealho"/>
            <w:spacing w:line="360" w:lineRule="auto"/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</w:pPr>
        </w:p>
        <w:p w:rsidR="0087442B" w:rsidRPr="00445C19" w:rsidRDefault="0087442B" w:rsidP="0087442B">
          <w:pPr>
            <w:pStyle w:val="Cabealho"/>
            <w:spacing w:line="360" w:lineRule="auto"/>
            <w:rPr>
              <w:rFonts w:asciiTheme="majorHAnsi" w:eastAsia="Calibri" w:hAnsiTheme="majorHAnsi" w:cstheme="minorHAnsi"/>
              <w:color w:val="17365D" w:themeColor="text2" w:themeShade="BF"/>
              <w:sz w:val="20"/>
            </w:rPr>
          </w:pPr>
          <w:r w:rsidRPr="00445C19"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  <w:t xml:space="preserve">Processo </w:t>
          </w:r>
          <w:r>
            <w:rPr>
              <w:rFonts w:asciiTheme="majorHAnsi" w:eastAsia="Calibri" w:hAnsiTheme="majorHAnsi" w:cstheme="minorHAnsi"/>
              <w:color w:val="17365D" w:themeColor="text2" w:themeShade="BF"/>
              <w:sz w:val="20"/>
            </w:rPr>
            <w:t>nº 23069.022443/2019-81</w:t>
          </w:r>
        </w:p>
        <w:p w:rsidR="0087442B" w:rsidRPr="00445C19" w:rsidRDefault="0087442B" w:rsidP="0087442B">
          <w:pPr>
            <w:pStyle w:val="Cabealho"/>
            <w:spacing w:line="360" w:lineRule="auto"/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</w:pPr>
          <w:r>
            <w:rPr>
              <w:rFonts w:asciiTheme="majorHAnsi" w:eastAsia="Calibri" w:hAnsiTheme="majorHAnsi" w:cstheme="minorHAnsi"/>
              <w:color w:val="17365D" w:themeColor="text2" w:themeShade="BF"/>
              <w:sz w:val="20"/>
            </w:rPr>
            <w:t>Revisão 01</w:t>
          </w:r>
        </w:p>
        <w:p w:rsidR="0087442B" w:rsidRPr="00541683" w:rsidRDefault="0087442B" w:rsidP="0087442B">
          <w:pPr>
            <w:pStyle w:val="Cabealho"/>
            <w:spacing w:line="360" w:lineRule="auto"/>
            <w:rPr>
              <w:rFonts w:asciiTheme="majorHAnsi" w:eastAsia="Calibri" w:hAnsiTheme="majorHAnsi" w:cstheme="minorHAnsi"/>
              <w:i/>
              <w:sz w:val="20"/>
            </w:rPr>
          </w:pPr>
          <w:r w:rsidRPr="00445C19"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  <w:t>Data:</w:t>
          </w:r>
          <w:r>
            <w:rPr>
              <w:rFonts w:asciiTheme="majorHAnsi" w:eastAsia="Calibri" w:hAnsiTheme="majorHAnsi" w:cstheme="minorHAnsi"/>
              <w:i/>
              <w:color w:val="17365D" w:themeColor="text2" w:themeShade="BF"/>
              <w:sz w:val="20"/>
            </w:rPr>
            <w:t>12/03/2020</w:t>
          </w:r>
        </w:p>
      </w:tc>
    </w:tr>
  </w:tbl>
  <w:p w:rsidR="00613FAA" w:rsidRDefault="00613FAA">
    <w:pPr>
      <w:suppressAutoHyphens/>
      <w:spacing w:after="0" w:line="240" w:lineRule="auto"/>
      <w:jc w:val="center"/>
      <w:rPr>
        <w:rFonts w:eastAsia="Times New Roman" w:cstheme="minorHAnsi"/>
        <w:color w:val="000000"/>
        <w:sz w:val="18"/>
        <w:szCs w:val="18"/>
        <w:lang w:eastAsia="ar-S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13FAA"/>
    <w:rsid w:val="001A0B6B"/>
    <w:rsid w:val="0038686A"/>
    <w:rsid w:val="003A6029"/>
    <w:rsid w:val="00613FAA"/>
    <w:rsid w:val="00666AB9"/>
    <w:rsid w:val="00734303"/>
    <w:rsid w:val="00766D7C"/>
    <w:rsid w:val="008109BD"/>
    <w:rsid w:val="0087442B"/>
    <w:rsid w:val="00A36278"/>
    <w:rsid w:val="00DA3D6B"/>
    <w:rsid w:val="00EA1E03"/>
    <w:rsid w:val="00EB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029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  <w:qFormat/>
    <w:rsid w:val="00152D9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D9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6F3AD8"/>
  </w:style>
  <w:style w:type="character" w:customStyle="1" w:styleId="RodapChar">
    <w:name w:val="Rodapé Char"/>
    <w:basedOn w:val="Fontepargpadro"/>
    <w:link w:val="Rodap"/>
    <w:uiPriority w:val="99"/>
    <w:qFormat/>
    <w:rsid w:val="006F3AD8"/>
  </w:style>
  <w:style w:type="paragraph" w:styleId="Ttulo">
    <w:name w:val="Title"/>
    <w:basedOn w:val="Normal"/>
    <w:next w:val="Corpodetexto"/>
    <w:qFormat/>
    <w:rsid w:val="003A60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3A6029"/>
    <w:pPr>
      <w:spacing w:after="140"/>
    </w:pPr>
  </w:style>
  <w:style w:type="paragraph" w:styleId="Lista">
    <w:name w:val="List"/>
    <w:basedOn w:val="Corpodetexto"/>
    <w:rsid w:val="003A6029"/>
    <w:rPr>
      <w:rFonts w:cs="Arial"/>
    </w:rPr>
  </w:style>
  <w:style w:type="paragraph" w:styleId="Legenda">
    <w:name w:val="caption"/>
    <w:basedOn w:val="Normal"/>
    <w:qFormat/>
    <w:rsid w:val="003A60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A6029"/>
    <w:pPr>
      <w:suppressLineNumbers/>
    </w:pPr>
    <w:rPr>
      <w:rFonts w:cs="Arial"/>
    </w:rPr>
  </w:style>
  <w:style w:type="paragraph" w:customStyle="1" w:styleId="PargrafodaLista1">
    <w:name w:val="Parágrafo da Lista1"/>
    <w:basedOn w:val="Normal"/>
    <w:qFormat/>
    <w:rsid w:val="00152D9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D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3A6029"/>
  </w:style>
  <w:style w:type="paragraph" w:styleId="Cabealho">
    <w:name w:val="header"/>
    <w:aliases w:val="Cabeçalho superior,Heading 1a"/>
    <w:basedOn w:val="Normal"/>
    <w:link w:val="CabealhoChar"/>
    <w:unhideWhenUsed/>
    <w:rsid w:val="006F3AD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F3AD8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Henrique</cp:lastModifiedBy>
  <cp:revision>2</cp:revision>
  <dcterms:created xsi:type="dcterms:W3CDTF">2020-06-01T21:37:00Z</dcterms:created>
  <dcterms:modified xsi:type="dcterms:W3CDTF">2020-06-01T21:37:00Z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