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BC454" w14:textId="77777777" w:rsidR="00743B8B" w:rsidRDefault="00743B8B" w:rsidP="00743B8B">
      <w:pPr>
        <w:rPr>
          <w:rFonts w:ascii="Verdana" w:hAnsi="Verdana" w:cs="Arial"/>
        </w:rPr>
      </w:pPr>
    </w:p>
    <w:p w14:paraId="77579DE8" w14:textId="77777777" w:rsidR="00743B8B" w:rsidRPr="00D71EC1" w:rsidRDefault="00743B8B" w:rsidP="00743B8B">
      <w:pPr>
        <w:rPr>
          <w:rFonts w:ascii="Verdana" w:hAnsi="Verdana"/>
        </w:rPr>
      </w:pPr>
      <w:bookmarkStart w:id="0" w:name="_Hlk509777098"/>
      <w:bookmarkStart w:id="1" w:name="_Hlk509780950"/>
      <w:r w:rsidRPr="00D71EC1">
        <w:rPr>
          <w:rFonts w:ascii="Verdana" w:hAnsi="Verdana"/>
          <w:noProof/>
        </w:rPr>
        <w:drawing>
          <wp:anchor distT="0" distB="0" distL="114300" distR="114300" simplePos="0" relativeHeight="251656192" behindDoc="0" locked="0" layoutInCell="1" allowOverlap="1" wp14:anchorId="1C8E509E" wp14:editId="1AB7809D">
            <wp:simplePos x="0" y="0"/>
            <wp:positionH relativeFrom="margin">
              <wp:posOffset>2400300</wp:posOffset>
            </wp:positionH>
            <wp:positionV relativeFrom="paragraph">
              <wp:posOffset>-114300</wp:posOffset>
            </wp:positionV>
            <wp:extent cx="640080" cy="619125"/>
            <wp:effectExtent l="0" t="0" r="0" b="0"/>
            <wp:wrapNone/>
            <wp:docPr id="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14:sizeRelH relativeFrom="page">
              <wp14:pctWidth>0</wp14:pctWidth>
            </wp14:sizeRelH>
            <wp14:sizeRelV relativeFrom="page">
              <wp14:pctHeight>0</wp14:pctHeight>
            </wp14:sizeRelV>
          </wp:anchor>
        </w:drawing>
      </w:r>
      <w:r w:rsidRPr="00D71EC1">
        <w:rPr>
          <w:rFonts w:ascii="Verdana" w:hAnsi="Verdana"/>
          <w:noProof/>
        </w:rPr>
        <w:drawing>
          <wp:anchor distT="0" distB="0" distL="114300" distR="114300" simplePos="0" relativeHeight="251660288" behindDoc="1" locked="0" layoutInCell="1" allowOverlap="1" wp14:anchorId="0CCDB7E4" wp14:editId="4B1469CA">
            <wp:simplePos x="0" y="0"/>
            <wp:positionH relativeFrom="column">
              <wp:posOffset>-180340</wp:posOffset>
            </wp:positionH>
            <wp:positionV relativeFrom="paragraph">
              <wp:posOffset>-19685</wp:posOffset>
            </wp:positionV>
            <wp:extent cx="898525" cy="483870"/>
            <wp:effectExtent l="0" t="0" r="0" b="0"/>
            <wp:wrapNone/>
            <wp:docPr id="10" name="Imagem 1"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 UFF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8525" cy="483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1D3D9" w14:textId="77777777" w:rsidR="00743B8B" w:rsidRPr="00D71EC1" w:rsidRDefault="00743B8B" w:rsidP="00743B8B">
      <w:pPr>
        <w:rPr>
          <w:rFonts w:ascii="Verdana" w:hAnsi="Verdana"/>
        </w:rPr>
      </w:pPr>
    </w:p>
    <w:p w14:paraId="193934BB" w14:textId="77777777" w:rsidR="00743B8B" w:rsidRPr="00D71EC1" w:rsidRDefault="00743B8B" w:rsidP="00743B8B">
      <w:pPr>
        <w:rPr>
          <w:rFonts w:ascii="Verdana" w:hAnsi="Verdana"/>
        </w:rPr>
      </w:pPr>
    </w:p>
    <w:p w14:paraId="42A89804" w14:textId="77777777" w:rsidR="00743B8B" w:rsidRPr="00D71EC1" w:rsidRDefault="00743B8B" w:rsidP="00743B8B">
      <w:pPr>
        <w:rPr>
          <w:rFonts w:ascii="Verdana" w:hAnsi="Verdana"/>
        </w:rPr>
      </w:pPr>
    </w:p>
    <w:p w14:paraId="58DCA020" w14:textId="77777777" w:rsidR="00743B8B" w:rsidRPr="00D71EC1" w:rsidRDefault="00743B8B" w:rsidP="00743B8B">
      <w:pPr>
        <w:tabs>
          <w:tab w:val="left" w:pos="6284"/>
        </w:tabs>
        <w:jc w:val="center"/>
        <w:rPr>
          <w:rFonts w:ascii="Verdana" w:hAnsi="Verdana" w:cs="Arial"/>
          <w:b/>
          <w:bCs/>
          <w:szCs w:val="20"/>
        </w:rPr>
      </w:pPr>
      <w:r w:rsidRPr="00D71EC1">
        <w:rPr>
          <w:rFonts w:ascii="Verdana" w:hAnsi="Verdana" w:cs="Arial"/>
          <w:b/>
          <w:bCs/>
          <w:szCs w:val="20"/>
        </w:rPr>
        <w:t>MINISTÉRIO DA EDUCAÇÃO</w:t>
      </w:r>
    </w:p>
    <w:p w14:paraId="22F7E131" w14:textId="77777777" w:rsidR="00743B8B" w:rsidRPr="00D71EC1" w:rsidRDefault="00743B8B" w:rsidP="00743B8B">
      <w:pPr>
        <w:pStyle w:val="Ttulo1"/>
        <w:rPr>
          <w:rFonts w:ascii="Verdana" w:hAnsi="Verdana" w:cs="Arial"/>
          <w:b w:val="0"/>
          <w:sz w:val="20"/>
          <w:szCs w:val="20"/>
        </w:rPr>
      </w:pPr>
      <w:r w:rsidRPr="00D71EC1">
        <w:rPr>
          <w:rFonts w:ascii="Verdana" w:hAnsi="Verdana" w:cs="Arial"/>
          <w:b w:val="0"/>
          <w:sz w:val="20"/>
          <w:szCs w:val="20"/>
        </w:rPr>
        <w:t>UNIVERSIDADE FEDERAL FLUMINENSE</w:t>
      </w:r>
    </w:p>
    <w:bookmarkEnd w:id="0"/>
    <w:p w14:paraId="1A86C80E" w14:textId="0F7D4DA0" w:rsidR="00743B8B" w:rsidRPr="00D71EC1" w:rsidRDefault="00192574" w:rsidP="00743B8B">
      <w:pPr>
        <w:jc w:val="center"/>
        <w:rPr>
          <w:rFonts w:ascii="Verdana" w:hAnsi="Verdana" w:cs="Arial"/>
          <w:b/>
          <w:szCs w:val="20"/>
        </w:rPr>
      </w:pPr>
      <w:r>
        <w:rPr>
          <w:rFonts w:ascii="Verdana" w:hAnsi="Verdana" w:cs="Arial"/>
          <w:b/>
          <w:szCs w:val="20"/>
        </w:rPr>
        <w:t>PRO REITORIA DE ADMINISTRAÇÃO</w:t>
      </w:r>
    </w:p>
    <w:p w14:paraId="3FB57DDA" w14:textId="53BB796D" w:rsidR="00743B8B" w:rsidRPr="00D71EC1" w:rsidRDefault="00743B8B" w:rsidP="00743B8B">
      <w:pPr>
        <w:pStyle w:val="Ttulo1"/>
        <w:shd w:val="clear" w:color="auto" w:fill="E7E6E6"/>
        <w:rPr>
          <w:rFonts w:ascii="Verdana" w:hAnsi="Verdana" w:cs="Arial"/>
          <w:b w:val="0"/>
          <w:sz w:val="20"/>
          <w:szCs w:val="20"/>
        </w:rPr>
      </w:pPr>
      <w:r w:rsidRPr="00D71EC1">
        <w:rPr>
          <w:rFonts w:ascii="Verdana" w:hAnsi="Verdana" w:cs="Arial"/>
          <w:b w:val="0"/>
          <w:sz w:val="20"/>
          <w:szCs w:val="20"/>
        </w:rPr>
        <w:t xml:space="preserve">ANEXO </w:t>
      </w:r>
      <w:bookmarkStart w:id="2" w:name="_GoBack"/>
      <w:bookmarkEnd w:id="2"/>
      <w:r w:rsidR="009D1663">
        <w:rPr>
          <w:rFonts w:ascii="Verdana" w:hAnsi="Verdana" w:cs="Arial"/>
          <w:b w:val="0"/>
          <w:sz w:val="20"/>
          <w:szCs w:val="20"/>
        </w:rPr>
        <w:t>III</w:t>
      </w:r>
      <w:r w:rsidRPr="00D71EC1">
        <w:rPr>
          <w:rFonts w:ascii="Verdana" w:hAnsi="Verdana" w:cs="Arial"/>
          <w:b w:val="0"/>
          <w:sz w:val="20"/>
          <w:szCs w:val="20"/>
        </w:rPr>
        <w:t xml:space="preserve"> – INSTRUMENTO DE MEDIÇÃO DE RESULTADO</w:t>
      </w:r>
    </w:p>
    <w:p w14:paraId="30A9F9F3" w14:textId="77777777" w:rsidR="00743B8B" w:rsidRPr="00D71EC1" w:rsidRDefault="00743B8B" w:rsidP="00743B8B">
      <w:pPr>
        <w:pStyle w:val="PargrafodaLista"/>
        <w:tabs>
          <w:tab w:val="left" w:pos="426"/>
        </w:tabs>
        <w:ind w:left="0"/>
        <w:jc w:val="both"/>
        <w:rPr>
          <w:rFonts w:ascii="Verdana" w:eastAsia="Arial Unicode MS" w:hAnsi="Verdana" w:cs="Arial"/>
          <w:szCs w:val="20"/>
          <w:lang w:val="x-none"/>
        </w:rPr>
      </w:pPr>
    </w:p>
    <w:p w14:paraId="3FB3937A" w14:textId="77777777" w:rsidR="007A78FB" w:rsidRPr="007A78FB" w:rsidRDefault="007A78FB" w:rsidP="007A78FB">
      <w:pPr>
        <w:jc w:val="center"/>
        <w:rPr>
          <w:rFonts w:ascii="Verdana" w:eastAsia="Arial Unicode MS" w:hAnsi="Verdana" w:cs="Arial"/>
          <w:b/>
          <w:szCs w:val="20"/>
          <w:lang w:eastAsia="ar-SA"/>
        </w:rPr>
      </w:pPr>
      <w:r w:rsidRPr="007A78FB">
        <w:rPr>
          <w:rFonts w:ascii="Verdana" w:eastAsia="Arial Unicode MS" w:hAnsi="Verdana" w:cs="Arial"/>
          <w:b/>
          <w:szCs w:val="20"/>
          <w:lang w:eastAsia="ar-SA"/>
        </w:rPr>
        <w:t>(AVALIAÇÃO DA QUALIDADE DOS SERVIÇOS)</w:t>
      </w:r>
    </w:p>
    <w:p w14:paraId="436FDB8E" w14:textId="273BF301" w:rsidR="00743B8B" w:rsidRDefault="00743B8B" w:rsidP="00743B8B">
      <w:pPr>
        <w:pStyle w:val="PargrafodaLista"/>
        <w:tabs>
          <w:tab w:val="left" w:pos="426"/>
        </w:tabs>
        <w:ind w:left="0"/>
        <w:jc w:val="both"/>
        <w:rPr>
          <w:rFonts w:ascii="Verdana" w:eastAsia="Arial Unicode MS" w:hAnsi="Verdana" w:cs="Arial"/>
          <w:szCs w:val="20"/>
        </w:rPr>
      </w:pPr>
    </w:p>
    <w:p w14:paraId="41E63AC4" w14:textId="38693D08" w:rsidR="00B114CF" w:rsidRPr="00844C39" w:rsidRDefault="00B114CF" w:rsidP="00743B8B">
      <w:pPr>
        <w:pStyle w:val="PargrafodaLista"/>
        <w:tabs>
          <w:tab w:val="left" w:pos="426"/>
        </w:tabs>
        <w:ind w:left="0"/>
        <w:jc w:val="both"/>
        <w:rPr>
          <w:rFonts w:asciiTheme="minorHAnsi" w:eastAsia="Arial Unicode MS" w:hAnsiTheme="minorHAnsi" w:cstheme="minorHAnsi"/>
          <w:sz w:val="20"/>
          <w:szCs w:val="20"/>
        </w:rPr>
      </w:pPr>
    </w:p>
    <w:tbl>
      <w:tblPr>
        <w:tblW w:w="8637" w:type="dxa"/>
        <w:tblInd w:w="80" w:type="dxa"/>
        <w:tblCellMar>
          <w:left w:w="70" w:type="dxa"/>
          <w:right w:w="70" w:type="dxa"/>
        </w:tblCellMar>
        <w:tblLook w:val="04A0" w:firstRow="1" w:lastRow="0" w:firstColumn="1" w:lastColumn="0" w:noHBand="0" w:noVBand="1"/>
      </w:tblPr>
      <w:tblGrid>
        <w:gridCol w:w="3414"/>
        <w:gridCol w:w="5223"/>
      </w:tblGrid>
      <w:tr w:rsidR="00CB36C2" w:rsidRPr="00B114CF" w14:paraId="253CDBE9" w14:textId="77777777" w:rsidTr="00A37464">
        <w:trPr>
          <w:trHeight w:val="288"/>
        </w:trPr>
        <w:tc>
          <w:tcPr>
            <w:tcW w:w="3414" w:type="dxa"/>
            <w:tcBorders>
              <w:top w:val="nil"/>
              <w:left w:val="nil"/>
              <w:bottom w:val="nil"/>
              <w:right w:val="nil"/>
            </w:tcBorders>
            <w:shd w:val="clear" w:color="auto" w:fill="auto"/>
            <w:noWrap/>
            <w:vAlign w:val="bottom"/>
            <w:hideMark/>
          </w:tcPr>
          <w:p w14:paraId="720DE8AD" w14:textId="77777777" w:rsidR="00CB36C2" w:rsidRPr="00B114CF" w:rsidRDefault="00CB36C2" w:rsidP="00A37464">
            <w:pPr>
              <w:rPr>
                <w:rFonts w:ascii="Calibri" w:hAnsi="Calibri" w:cs="Calibri"/>
                <w:color w:val="000000"/>
                <w:sz w:val="22"/>
                <w:szCs w:val="22"/>
              </w:rPr>
            </w:pPr>
          </w:p>
        </w:tc>
        <w:tc>
          <w:tcPr>
            <w:tcW w:w="5223" w:type="dxa"/>
            <w:tcBorders>
              <w:top w:val="nil"/>
              <w:left w:val="nil"/>
              <w:bottom w:val="nil"/>
              <w:right w:val="nil"/>
            </w:tcBorders>
            <w:shd w:val="clear" w:color="auto" w:fill="auto"/>
            <w:vAlign w:val="bottom"/>
            <w:hideMark/>
          </w:tcPr>
          <w:p w14:paraId="1AA41EC3" w14:textId="77777777" w:rsidR="00CB36C2" w:rsidRPr="00B114CF" w:rsidRDefault="00CB36C2" w:rsidP="00A37464">
            <w:pPr>
              <w:rPr>
                <w:sz w:val="20"/>
                <w:szCs w:val="20"/>
              </w:rPr>
            </w:pPr>
          </w:p>
        </w:tc>
      </w:tr>
      <w:tr w:rsidR="00CB36C2" w:rsidRPr="00B114CF" w14:paraId="5F97B922" w14:textId="77777777" w:rsidTr="00A37464">
        <w:trPr>
          <w:trHeight w:val="300"/>
        </w:trPr>
        <w:tc>
          <w:tcPr>
            <w:tcW w:w="3414" w:type="dxa"/>
            <w:tcBorders>
              <w:top w:val="nil"/>
              <w:left w:val="nil"/>
              <w:bottom w:val="nil"/>
              <w:right w:val="nil"/>
            </w:tcBorders>
            <w:shd w:val="clear" w:color="auto" w:fill="auto"/>
            <w:noWrap/>
            <w:vAlign w:val="bottom"/>
            <w:hideMark/>
          </w:tcPr>
          <w:p w14:paraId="2ACD2E8C" w14:textId="77777777" w:rsidR="00CB36C2" w:rsidRPr="00B114CF" w:rsidRDefault="00CB36C2" w:rsidP="00A37464">
            <w:pPr>
              <w:rPr>
                <w:sz w:val="20"/>
                <w:szCs w:val="20"/>
              </w:rPr>
            </w:pPr>
          </w:p>
        </w:tc>
        <w:tc>
          <w:tcPr>
            <w:tcW w:w="5223" w:type="dxa"/>
            <w:tcBorders>
              <w:top w:val="nil"/>
              <w:left w:val="nil"/>
              <w:bottom w:val="nil"/>
              <w:right w:val="nil"/>
            </w:tcBorders>
            <w:shd w:val="clear" w:color="auto" w:fill="auto"/>
            <w:vAlign w:val="bottom"/>
            <w:hideMark/>
          </w:tcPr>
          <w:p w14:paraId="1C7F6D7B" w14:textId="77777777" w:rsidR="00CB36C2" w:rsidRPr="00B114CF" w:rsidRDefault="00CB36C2" w:rsidP="00A37464">
            <w:pPr>
              <w:rPr>
                <w:sz w:val="20"/>
                <w:szCs w:val="20"/>
              </w:rPr>
            </w:pPr>
          </w:p>
        </w:tc>
      </w:tr>
      <w:tr w:rsidR="00CB36C2" w:rsidRPr="00B114CF" w14:paraId="384D9A05" w14:textId="77777777" w:rsidTr="00A37464">
        <w:trPr>
          <w:trHeight w:val="288"/>
        </w:trPr>
        <w:tc>
          <w:tcPr>
            <w:tcW w:w="8637"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AA6490F" w14:textId="18FBD9AB" w:rsidR="00CB36C2" w:rsidRPr="00B114CF" w:rsidRDefault="00CB36C2" w:rsidP="00A37464">
            <w:pPr>
              <w:jc w:val="center"/>
              <w:rPr>
                <w:rFonts w:ascii="Calibri" w:hAnsi="Calibri" w:cs="Calibri"/>
                <w:b/>
                <w:bCs/>
                <w:color w:val="000000"/>
                <w:sz w:val="22"/>
                <w:szCs w:val="22"/>
              </w:rPr>
            </w:pPr>
            <w:r w:rsidRPr="00B114CF">
              <w:rPr>
                <w:rFonts w:ascii="Calibri" w:hAnsi="Calibri" w:cs="Calibri"/>
                <w:b/>
                <w:bCs/>
                <w:color w:val="000000"/>
                <w:sz w:val="22"/>
                <w:szCs w:val="22"/>
              </w:rPr>
              <w:t xml:space="preserve">INDICADOR </w:t>
            </w:r>
            <w:r>
              <w:rPr>
                <w:rFonts w:ascii="Calibri" w:hAnsi="Calibri" w:cs="Calibri"/>
                <w:b/>
                <w:bCs/>
                <w:color w:val="000000"/>
                <w:sz w:val="22"/>
                <w:szCs w:val="22"/>
              </w:rPr>
              <w:t>1</w:t>
            </w:r>
            <w:r w:rsidRPr="00B114CF">
              <w:rPr>
                <w:rFonts w:ascii="Calibri" w:hAnsi="Calibri" w:cs="Calibri"/>
                <w:b/>
                <w:bCs/>
                <w:color w:val="000000"/>
                <w:sz w:val="22"/>
                <w:szCs w:val="22"/>
              </w:rPr>
              <w:t xml:space="preserve"> - Cumprimento das rotinas contratadas</w:t>
            </w:r>
          </w:p>
        </w:tc>
      </w:tr>
      <w:tr w:rsidR="00CB36C2" w:rsidRPr="00B114CF" w14:paraId="465B477D" w14:textId="77777777" w:rsidTr="00A37464">
        <w:trPr>
          <w:trHeight w:val="288"/>
        </w:trPr>
        <w:tc>
          <w:tcPr>
            <w:tcW w:w="3414" w:type="dxa"/>
            <w:tcBorders>
              <w:top w:val="nil"/>
              <w:left w:val="single" w:sz="8" w:space="0" w:color="auto"/>
              <w:bottom w:val="single" w:sz="4" w:space="0" w:color="auto"/>
              <w:right w:val="single" w:sz="4" w:space="0" w:color="auto"/>
            </w:tcBorders>
            <w:shd w:val="clear" w:color="000000" w:fill="B4C6E7"/>
            <w:noWrap/>
            <w:vAlign w:val="bottom"/>
            <w:hideMark/>
          </w:tcPr>
          <w:p w14:paraId="141A75EE" w14:textId="77777777" w:rsidR="00CB36C2" w:rsidRPr="00B114CF" w:rsidRDefault="00CB36C2" w:rsidP="00A37464">
            <w:pPr>
              <w:rPr>
                <w:rFonts w:ascii="Calibri" w:hAnsi="Calibri" w:cs="Calibri"/>
                <w:b/>
                <w:bCs/>
                <w:color w:val="000000"/>
                <w:sz w:val="22"/>
                <w:szCs w:val="22"/>
              </w:rPr>
            </w:pPr>
            <w:r w:rsidRPr="00B114CF">
              <w:rPr>
                <w:rFonts w:ascii="Calibri" w:hAnsi="Calibri" w:cs="Calibri"/>
                <w:b/>
                <w:bCs/>
                <w:color w:val="000000"/>
                <w:sz w:val="22"/>
                <w:szCs w:val="22"/>
              </w:rPr>
              <w:t>Item</w:t>
            </w:r>
          </w:p>
        </w:tc>
        <w:tc>
          <w:tcPr>
            <w:tcW w:w="5223" w:type="dxa"/>
            <w:tcBorders>
              <w:top w:val="nil"/>
              <w:left w:val="nil"/>
              <w:bottom w:val="single" w:sz="4" w:space="0" w:color="auto"/>
              <w:right w:val="single" w:sz="8" w:space="0" w:color="auto"/>
            </w:tcBorders>
            <w:shd w:val="clear" w:color="000000" w:fill="B4C6E7"/>
            <w:vAlign w:val="bottom"/>
            <w:hideMark/>
          </w:tcPr>
          <w:p w14:paraId="562AE335" w14:textId="77777777" w:rsidR="00CB36C2" w:rsidRPr="00B114CF" w:rsidRDefault="00CB36C2" w:rsidP="00A37464">
            <w:pPr>
              <w:rPr>
                <w:rFonts w:ascii="Calibri" w:hAnsi="Calibri" w:cs="Calibri"/>
                <w:b/>
                <w:bCs/>
                <w:color w:val="000000"/>
                <w:sz w:val="22"/>
                <w:szCs w:val="22"/>
              </w:rPr>
            </w:pPr>
            <w:r w:rsidRPr="00B114CF">
              <w:rPr>
                <w:rFonts w:ascii="Calibri" w:hAnsi="Calibri" w:cs="Calibri"/>
                <w:b/>
                <w:bCs/>
                <w:color w:val="000000"/>
                <w:sz w:val="22"/>
                <w:szCs w:val="22"/>
              </w:rPr>
              <w:t>Descrição</w:t>
            </w:r>
          </w:p>
        </w:tc>
      </w:tr>
      <w:tr w:rsidR="00CB36C2" w:rsidRPr="00B114CF" w14:paraId="08D6D4AC" w14:textId="77777777" w:rsidTr="00A37464">
        <w:trPr>
          <w:trHeight w:val="288"/>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36D25B14"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Finalidade</w:t>
            </w:r>
          </w:p>
        </w:tc>
        <w:tc>
          <w:tcPr>
            <w:tcW w:w="5223" w:type="dxa"/>
            <w:tcBorders>
              <w:top w:val="nil"/>
              <w:left w:val="nil"/>
              <w:bottom w:val="single" w:sz="4" w:space="0" w:color="auto"/>
              <w:right w:val="single" w:sz="8" w:space="0" w:color="auto"/>
            </w:tcBorders>
            <w:shd w:val="clear" w:color="auto" w:fill="auto"/>
            <w:vAlign w:val="bottom"/>
            <w:hideMark/>
          </w:tcPr>
          <w:p w14:paraId="3EFCF1D9"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Garantir o cumprimento das rotinas contratadas.</w:t>
            </w:r>
          </w:p>
        </w:tc>
      </w:tr>
      <w:tr w:rsidR="00CB36C2" w:rsidRPr="00B114CF" w14:paraId="44BE07B6" w14:textId="77777777" w:rsidTr="00A37464">
        <w:trPr>
          <w:trHeight w:val="288"/>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34A97EDC"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Meta a cumprir</w:t>
            </w:r>
          </w:p>
        </w:tc>
        <w:tc>
          <w:tcPr>
            <w:tcW w:w="5223" w:type="dxa"/>
            <w:tcBorders>
              <w:top w:val="nil"/>
              <w:left w:val="nil"/>
              <w:bottom w:val="single" w:sz="4" w:space="0" w:color="auto"/>
              <w:right w:val="single" w:sz="8" w:space="0" w:color="auto"/>
            </w:tcBorders>
            <w:shd w:val="clear" w:color="auto" w:fill="auto"/>
            <w:vAlign w:val="bottom"/>
            <w:hideMark/>
          </w:tcPr>
          <w:p w14:paraId="6574967C"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Manter regularidade no posto de trabalho.</w:t>
            </w:r>
          </w:p>
        </w:tc>
      </w:tr>
      <w:tr w:rsidR="00CB36C2" w:rsidRPr="00B114CF" w14:paraId="0EC55CA1" w14:textId="77777777" w:rsidTr="00A37464">
        <w:trPr>
          <w:trHeight w:val="864"/>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493AA3D6"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Instrumento de Medição</w:t>
            </w:r>
          </w:p>
        </w:tc>
        <w:tc>
          <w:tcPr>
            <w:tcW w:w="5223" w:type="dxa"/>
            <w:tcBorders>
              <w:top w:val="nil"/>
              <w:left w:val="nil"/>
              <w:bottom w:val="single" w:sz="4" w:space="0" w:color="auto"/>
              <w:right w:val="single" w:sz="8" w:space="0" w:color="auto"/>
            </w:tcBorders>
            <w:shd w:val="clear" w:color="auto" w:fill="auto"/>
            <w:vAlign w:val="bottom"/>
            <w:hideMark/>
          </w:tcPr>
          <w:p w14:paraId="69AC36F6"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Fiscalização do contrato, informações por mensagem eletrônica, memorando ou ofício; avaliação do solicitante.</w:t>
            </w:r>
          </w:p>
        </w:tc>
      </w:tr>
      <w:tr w:rsidR="00CB36C2" w:rsidRPr="00B114CF" w14:paraId="47CB51B6" w14:textId="77777777" w:rsidTr="00A37464">
        <w:trPr>
          <w:trHeight w:val="288"/>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447F371F"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Forma de acompanhamento</w:t>
            </w:r>
          </w:p>
        </w:tc>
        <w:tc>
          <w:tcPr>
            <w:tcW w:w="5223" w:type="dxa"/>
            <w:tcBorders>
              <w:top w:val="nil"/>
              <w:left w:val="nil"/>
              <w:bottom w:val="single" w:sz="4" w:space="0" w:color="auto"/>
              <w:right w:val="single" w:sz="8" w:space="0" w:color="auto"/>
            </w:tcBorders>
            <w:shd w:val="clear" w:color="auto" w:fill="auto"/>
            <w:vAlign w:val="bottom"/>
            <w:hideMark/>
          </w:tcPr>
          <w:p w14:paraId="5F7287A9"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Registros promovidos pelo(s) Fiscal(</w:t>
            </w:r>
            <w:proofErr w:type="spellStart"/>
            <w:r w:rsidRPr="00B114CF">
              <w:rPr>
                <w:rFonts w:ascii="Calibri" w:hAnsi="Calibri" w:cs="Calibri"/>
                <w:color w:val="000000"/>
                <w:sz w:val="22"/>
                <w:szCs w:val="22"/>
              </w:rPr>
              <w:t>is</w:t>
            </w:r>
            <w:proofErr w:type="spellEnd"/>
            <w:r w:rsidRPr="00B114CF">
              <w:rPr>
                <w:rFonts w:ascii="Calibri" w:hAnsi="Calibri" w:cs="Calibri"/>
                <w:color w:val="000000"/>
                <w:sz w:val="22"/>
                <w:szCs w:val="22"/>
              </w:rPr>
              <w:t xml:space="preserve">) do Contrato </w:t>
            </w:r>
          </w:p>
        </w:tc>
      </w:tr>
      <w:tr w:rsidR="00CB36C2" w:rsidRPr="00B114CF" w14:paraId="0BE2B9B7" w14:textId="77777777" w:rsidTr="00A37464">
        <w:trPr>
          <w:trHeight w:val="2016"/>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5E0A7B7F"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Mecanismo de cálculo</w:t>
            </w:r>
          </w:p>
        </w:tc>
        <w:tc>
          <w:tcPr>
            <w:tcW w:w="5223" w:type="dxa"/>
            <w:tcBorders>
              <w:top w:val="nil"/>
              <w:left w:val="nil"/>
              <w:bottom w:val="single" w:sz="4" w:space="0" w:color="auto"/>
              <w:right w:val="single" w:sz="8" w:space="0" w:color="auto"/>
            </w:tcBorders>
            <w:shd w:val="clear" w:color="auto" w:fill="auto"/>
            <w:vAlign w:val="bottom"/>
            <w:hideMark/>
          </w:tcPr>
          <w:p w14:paraId="5330A2CF"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br/>
              <w:t>Verificada falta ou conduta inconveniente por parte de funcionário, solicitada sua substituição, não sendo esta procedida em até 24 horas, estará configurada a ocorrência. A sanção incidirá percentualmente sobre o valor do dia de trabalho, o qual entende-se como o valor total mensal da fatura dividido por 30 dias.</w:t>
            </w:r>
          </w:p>
        </w:tc>
      </w:tr>
      <w:tr w:rsidR="00CB36C2" w:rsidRPr="00B114CF" w14:paraId="4B177A9F" w14:textId="77777777" w:rsidTr="00A37464">
        <w:trPr>
          <w:trHeight w:val="288"/>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13FB6525"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Periodicidade</w:t>
            </w:r>
          </w:p>
        </w:tc>
        <w:tc>
          <w:tcPr>
            <w:tcW w:w="5223" w:type="dxa"/>
            <w:tcBorders>
              <w:top w:val="nil"/>
              <w:left w:val="nil"/>
              <w:bottom w:val="single" w:sz="4" w:space="0" w:color="auto"/>
              <w:right w:val="single" w:sz="8" w:space="0" w:color="auto"/>
            </w:tcBorders>
            <w:shd w:val="clear" w:color="auto" w:fill="auto"/>
            <w:vAlign w:val="bottom"/>
            <w:hideMark/>
          </w:tcPr>
          <w:p w14:paraId="2E63F0BE"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Diária.</w:t>
            </w:r>
          </w:p>
        </w:tc>
      </w:tr>
      <w:tr w:rsidR="00CB36C2" w:rsidRPr="00B114CF" w14:paraId="793BFB9C" w14:textId="77777777" w:rsidTr="00A37464">
        <w:trPr>
          <w:trHeight w:val="576"/>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5EC7F82E"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Início de Vigência</w:t>
            </w:r>
          </w:p>
        </w:tc>
        <w:tc>
          <w:tcPr>
            <w:tcW w:w="5223" w:type="dxa"/>
            <w:tcBorders>
              <w:top w:val="nil"/>
              <w:left w:val="nil"/>
              <w:bottom w:val="single" w:sz="4" w:space="0" w:color="auto"/>
              <w:right w:val="single" w:sz="8" w:space="0" w:color="auto"/>
            </w:tcBorders>
            <w:shd w:val="clear" w:color="auto" w:fill="auto"/>
            <w:vAlign w:val="bottom"/>
            <w:hideMark/>
          </w:tcPr>
          <w:p w14:paraId="3888F56C"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Concomitante ao início da prestação do serviço contratado.</w:t>
            </w:r>
          </w:p>
        </w:tc>
      </w:tr>
      <w:tr w:rsidR="00CB36C2" w:rsidRPr="00B114CF" w14:paraId="515BAEB5" w14:textId="77777777" w:rsidTr="00A37464">
        <w:trPr>
          <w:trHeight w:val="576"/>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0D30858A"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Faixa de ajustes no pagamento</w:t>
            </w:r>
          </w:p>
        </w:tc>
        <w:tc>
          <w:tcPr>
            <w:tcW w:w="5223" w:type="dxa"/>
            <w:tcBorders>
              <w:top w:val="nil"/>
              <w:left w:val="nil"/>
              <w:bottom w:val="single" w:sz="4" w:space="0" w:color="auto"/>
              <w:right w:val="single" w:sz="8" w:space="0" w:color="auto"/>
            </w:tcBorders>
            <w:shd w:val="clear" w:color="auto" w:fill="auto"/>
            <w:vAlign w:val="bottom"/>
            <w:hideMark/>
          </w:tcPr>
          <w:p w14:paraId="197FA7F9"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Redução de 30% no valor do “dia de trabalho” por ocorrência.</w:t>
            </w:r>
          </w:p>
        </w:tc>
      </w:tr>
      <w:tr w:rsidR="00CB36C2" w:rsidRPr="00B114CF" w14:paraId="66BA6DA8" w14:textId="77777777" w:rsidTr="00A37464">
        <w:trPr>
          <w:trHeight w:val="1152"/>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454A38E2"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Sanções</w:t>
            </w:r>
          </w:p>
        </w:tc>
        <w:tc>
          <w:tcPr>
            <w:tcW w:w="5223" w:type="dxa"/>
            <w:tcBorders>
              <w:top w:val="nil"/>
              <w:left w:val="nil"/>
              <w:bottom w:val="single" w:sz="4" w:space="0" w:color="auto"/>
              <w:right w:val="single" w:sz="8" w:space="0" w:color="auto"/>
            </w:tcBorders>
            <w:shd w:val="clear" w:color="auto" w:fill="auto"/>
            <w:vAlign w:val="bottom"/>
            <w:hideMark/>
          </w:tcPr>
          <w:p w14:paraId="4B751BDB"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1 (uma) a 3 (três) ocorrências = multa de 20% do valor do "dia de trabalho". Mais de 03 (três) ocorrências – multa de 30% do valor do "dia de trabalho".</w:t>
            </w:r>
          </w:p>
        </w:tc>
      </w:tr>
      <w:tr w:rsidR="00CB36C2" w:rsidRPr="00B114CF" w14:paraId="00D60D20" w14:textId="77777777" w:rsidTr="00A37464">
        <w:trPr>
          <w:trHeight w:val="300"/>
        </w:trPr>
        <w:tc>
          <w:tcPr>
            <w:tcW w:w="3414" w:type="dxa"/>
            <w:tcBorders>
              <w:top w:val="nil"/>
              <w:left w:val="single" w:sz="8" w:space="0" w:color="auto"/>
              <w:bottom w:val="single" w:sz="8" w:space="0" w:color="auto"/>
              <w:right w:val="single" w:sz="4" w:space="0" w:color="auto"/>
            </w:tcBorders>
            <w:shd w:val="clear" w:color="auto" w:fill="auto"/>
            <w:noWrap/>
            <w:vAlign w:val="bottom"/>
            <w:hideMark/>
          </w:tcPr>
          <w:p w14:paraId="190DC2B7"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Observações</w:t>
            </w:r>
          </w:p>
        </w:tc>
        <w:tc>
          <w:tcPr>
            <w:tcW w:w="5223" w:type="dxa"/>
            <w:tcBorders>
              <w:top w:val="nil"/>
              <w:left w:val="nil"/>
              <w:bottom w:val="single" w:sz="8" w:space="0" w:color="auto"/>
              <w:right w:val="single" w:sz="8" w:space="0" w:color="auto"/>
            </w:tcBorders>
            <w:shd w:val="clear" w:color="auto" w:fill="auto"/>
            <w:vAlign w:val="bottom"/>
            <w:hideMark/>
          </w:tcPr>
          <w:p w14:paraId="3FF3A38C"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 </w:t>
            </w:r>
          </w:p>
        </w:tc>
      </w:tr>
      <w:tr w:rsidR="00CB36C2" w:rsidRPr="00B114CF" w14:paraId="5AB24D73" w14:textId="77777777" w:rsidTr="00A37464">
        <w:trPr>
          <w:trHeight w:val="300"/>
        </w:trPr>
        <w:tc>
          <w:tcPr>
            <w:tcW w:w="3414" w:type="dxa"/>
            <w:tcBorders>
              <w:top w:val="nil"/>
              <w:left w:val="nil"/>
              <w:bottom w:val="nil"/>
              <w:right w:val="nil"/>
            </w:tcBorders>
            <w:shd w:val="clear" w:color="auto" w:fill="auto"/>
            <w:noWrap/>
            <w:vAlign w:val="bottom"/>
            <w:hideMark/>
          </w:tcPr>
          <w:p w14:paraId="2EC2413E" w14:textId="77777777" w:rsidR="00CB36C2" w:rsidRPr="00B114CF" w:rsidRDefault="00CB36C2" w:rsidP="00A37464">
            <w:pPr>
              <w:rPr>
                <w:rFonts w:ascii="Calibri" w:hAnsi="Calibri" w:cs="Calibri"/>
                <w:color w:val="000000"/>
                <w:sz w:val="22"/>
                <w:szCs w:val="22"/>
              </w:rPr>
            </w:pPr>
          </w:p>
        </w:tc>
        <w:tc>
          <w:tcPr>
            <w:tcW w:w="5223" w:type="dxa"/>
            <w:tcBorders>
              <w:top w:val="nil"/>
              <w:left w:val="nil"/>
              <w:bottom w:val="nil"/>
              <w:right w:val="nil"/>
            </w:tcBorders>
            <w:shd w:val="clear" w:color="auto" w:fill="auto"/>
            <w:vAlign w:val="bottom"/>
            <w:hideMark/>
          </w:tcPr>
          <w:p w14:paraId="6D4DBF57" w14:textId="77777777" w:rsidR="00CB36C2" w:rsidRPr="00B114CF" w:rsidRDefault="00CB36C2" w:rsidP="00A37464">
            <w:pPr>
              <w:rPr>
                <w:sz w:val="20"/>
                <w:szCs w:val="20"/>
              </w:rPr>
            </w:pPr>
          </w:p>
        </w:tc>
      </w:tr>
      <w:tr w:rsidR="00CB36C2" w:rsidRPr="00B114CF" w14:paraId="399A02F7" w14:textId="77777777" w:rsidTr="00A37464">
        <w:trPr>
          <w:trHeight w:val="288"/>
        </w:trPr>
        <w:tc>
          <w:tcPr>
            <w:tcW w:w="8637"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552191C" w14:textId="20C0D44D" w:rsidR="00CB36C2" w:rsidRPr="00B114CF" w:rsidRDefault="00CB36C2" w:rsidP="00A37464">
            <w:pPr>
              <w:jc w:val="center"/>
              <w:rPr>
                <w:rFonts w:ascii="Calibri" w:hAnsi="Calibri" w:cs="Calibri"/>
                <w:b/>
                <w:bCs/>
                <w:color w:val="000000"/>
                <w:sz w:val="22"/>
                <w:szCs w:val="22"/>
              </w:rPr>
            </w:pPr>
            <w:r w:rsidRPr="00B114CF">
              <w:rPr>
                <w:rFonts w:ascii="Calibri" w:hAnsi="Calibri" w:cs="Calibri"/>
                <w:b/>
                <w:bCs/>
                <w:color w:val="000000"/>
                <w:sz w:val="22"/>
                <w:szCs w:val="22"/>
              </w:rPr>
              <w:t xml:space="preserve">INDICADOR </w:t>
            </w:r>
            <w:r>
              <w:rPr>
                <w:rFonts w:ascii="Calibri" w:hAnsi="Calibri" w:cs="Calibri"/>
                <w:b/>
                <w:bCs/>
                <w:color w:val="000000"/>
                <w:sz w:val="22"/>
                <w:szCs w:val="22"/>
              </w:rPr>
              <w:t>2</w:t>
            </w:r>
            <w:r w:rsidRPr="00B114CF">
              <w:rPr>
                <w:rFonts w:ascii="Calibri" w:hAnsi="Calibri" w:cs="Calibri"/>
                <w:b/>
                <w:bCs/>
                <w:color w:val="000000"/>
                <w:sz w:val="22"/>
                <w:szCs w:val="22"/>
              </w:rPr>
              <w:t xml:space="preserve"> - Atendimento do Preposto junto à Contratante</w:t>
            </w:r>
          </w:p>
        </w:tc>
      </w:tr>
      <w:tr w:rsidR="00CB36C2" w:rsidRPr="00B114CF" w14:paraId="0EE9975A" w14:textId="77777777" w:rsidTr="00A37464">
        <w:trPr>
          <w:trHeight w:val="288"/>
        </w:trPr>
        <w:tc>
          <w:tcPr>
            <w:tcW w:w="3414" w:type="dxa"/>
            <w:tcBorders>
              <w:top w:val="nil"/>
              <w:left w:val="single" w:sz="8" w:space="0" w:color="auto"/>
              <w:bottom w:val="single" w:sz="4" w:space="0" w:color="auto"/>
              <w:right w:val="single" w:sz="4" w:space="0" w:color="auto"/>
            </w:tcBorders>
            <w:shd w:val="clear" w:color="000000" w:fill="B4C6E7"/>
            <w:noWrap/>
            <w:vAlign w:val="bottom"/>
            <w:hideMark/>
          </w:tcPr>
          <w:p w14:paraId="6470959F" w14:textId="77777777" w:rsidR="00CB36C2" w:rsidRPr="00B114CF" w:rsidRDefault="00CB36C2" w:rsidP="00A37464">
            <w:pPr>
              <w:rPr>
                <w:rFonts w:ascii="Calibri" w:hAnsi="Calibri" w:cs="Calibri"/>
                <w:b/>
                <w:bCs/>
                <w:color w:val="000000"/>
                <w:sz w:val="22"/>
                <w:szCs w:val="22"/>
              </w:rPr>
            </w:pPr>
            <w:r w:rsidRPr="00B114CF">
              <w:rPr>
                <w:rFonts w:ascii="Calibri" w:hAnsi="Calibri" w:cs="Calibri"/>
                <w:b/>
                <w:bCs/>
                <w:color w:val="000000"/>
                <w:sz w:val="22"/>
                <w:szCs w:val="22"/>
              </w:rPr>
              <w:t>Item</w:t>
            </w:r>
          </w:p>
        </w:tc>
        <w:tc>
          <w:tcPr>
            <w:tcW w:w="5223" w:type="dxa"/>
            <w:tcBorders>
              <w:top w:val="nil"/>
              <w:left w:val="nil"/>
              <w:bottom w:val="single" w:sz="4" w:space="0" w:color="auto"/>
              <w:right w:val="single" w:sz="8" w:space="0" w:color="auto"/>
            </w:tcBorders>
            <w:shd w:val="clear" w:color="000000" w:fill="B4C6E7"/>
            <w:vAlign w:val="bottom"/>
            <w:hideMark/>
          </w:tcPr>
          <w:p w14:paraId="4E28D113" w14:textId="77777777" w:rsidR="00CB36C2" w:rsidRPr="00B114CF" w:rsidRDefault="00CB36C2" w:rsidP="00A37464">
            <w:pPr>
              <w:rPr>
                <w:rFonts w:ascii="Calibri" w:hAnsi="Calibri" w:cs="Calibri"/>
                <w:b/>
                <w:bCs/>
                <w:color w:val="000000"/>
                <w:sz w:val="22"/>
                <w:szCs w:val="22"/>
              </w:rPr>
            </w:pPr>
            <w:r w:rsidRPr="00B114CF">
              <w:rPr>
                <w:rFonts w:ascii="Calibri" w:hAnsi="Calibri" w:cs="Calibri"/>
                <w:b/>
                <w:bCs/>
                <w:color w:val="000000"/>
                <w:sz w:val="22"/>
                <w:szCs w:val="22"/>
              </w:rPr>
              <w:t>Descrição</w:t>
            </w:r>
          </w:p>
        </w:tc>
      </w:tr>
      <w:tr w:rsidR="00CB36C2" w:rsidRPr="00B114CF" w14:paraId="45C0B39A" w14:textId="77777777" w:rsidTr="00A37464">
        <w:trPr>
          <w:trHeight w:val="576"/>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32601C2E"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Finalidade</w:t>
            </w:r>
          </w:p>
        </w:tc>
        <w:tc>
          <w:tcPr>
            <w:tcW w:w="5223" w:type="dxa"/>
            <w:tcBorders>
              <w:top w:val="nil"/>
              <w:left w:val="nil"/>
              <w:bottom w:val="single" w:sz="4" w:space="0" w:color="auto"/>
              <w:right w:val="single" w:sz="8" w:space="0" w:color="auto"/>
            </w:tcBorders>
            <w:shd w:val="clear" w:color="auto" w:fill="auto"/>
            <w:vAlign w:val="bottom"/>
            <w:hideMark/>
          </w:tcPr>
          <w:p w14:paraId="2C25EB4D"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Garantir a presença em frequência razoável e necessária do responsável pela empresa.</w:t>
            </w:r>
          </w:p>
        </w:tc>
      </w:tr>
      <w:tr w:rsidR="00CB36C2" w:rsidRPr="00B114CF" w14:paraId="7F0FF07F" w14:textId="77777777" w:rsidTr="00A37464">
        <w:trPr>
          <w:trHeight w:val="288"/>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0CB6F17E"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Meta a cumprir</w:t>
            </w:r>
          </w:p>
        </w:tc>
        <w:tc>
          <w:tcPr>
            <w:tcW w:w="5223" w:type="dxa"/>
            <w:tcBorders>
              <w:top w:val="nil"/>
              <w:left w:val="nil"/>
              <w:bottom w:val="single" w:sz="4" w:space="0" w:color="auto"/>
              <w:right w:val="single" w:sz="8" w:space="0" w:color="auto"/>
            </w:tcBorders>
            <w:shd w:val="clear" w:color="auto" w:fill="auto"/>
            <w:vAlign w:val="bottom"/>
            <w:hideMark/>
          </w:tcPr>
          <w:p w14:paraId="615B1A61"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Obter máxima eficiência na prestação do serviço .</w:t>
            </w:r>
          </w:p>
        </w:tc>
      </w:tr>
      <w:tr w:rsidR="00CB36C2" w:rsidRPr="00B114CF" w14:paraId="768AAF33" w14:textId="77777777" w:rsidTr="00A37464">
        <w:trPr>
          <w:trHeight w:val="864"/>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218A429B"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lastRenderedPageBreak/>
              <w:t>Instrumento de Medição</w:t>
            </w:r>
          </w:p>
        </w:tc>
        <w:tc>
          <w:tcPr>
            <w:tcW w:w="5223" w:type="dxa"/>
            <w:tcBorders>
              <w:top w:val="nil"/>
              <w:left w:val="nil"/>
              <w:bottom w:val="single" w:sz="4" w:space="0" w:color="auto"/>
              <w:right w:val="single" w:sz="8" w:space="0" w:color="auto"/>
            </w:tcBorders>
            <w:shd w:val="clear" w:color="auto" w:fill="auto"/>
            <w:vAlign w:val="bottom"/>
            <w:hideMark/>
          </w:tcPr>
          <w:p w14:paraId="502A018F"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Fiscalização do contrato, informações por mensagem eletrônica, memorando ou ofício; avaliação do solicitante.</w:t>
            </w:r>
          </w:p>
        </w:tc>
      </w:tr>
      <w:tr w:rsidR="00CB36C2" w:rsidRPr="00B114CF" w14:paraId="0C90AF9B" w14:textId="77777777" w:rsidTr="00A37464">
        <w:trPr>
          <w:trHeight w:val="288"/>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41703914"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Forma de acompanhamento</w:t>
            </w:r>
          </w:p>
        </w:tc>
        <w:tc>
          <w:tcPr>
            <w:tcW w:w="5223" w:type="dxa"/>
            <w:tcBorders>
              <w:top w:val="nil"/>
              <w:left w:val="nil"/>
              <w:bottom w:val="single" w:sz="4" w:space="0" w:color="auto"/>
              <w:right w:val="single" w:sz="8" w:space="0" w:color="auto"/>
            </w:tcBorders>
            <w:shd w:val="clear" w:color="auto" w:fill="auto"/>
            <w:vAlign w:val="bottom"/>
            <w:hideMark/>
          </w:tcPr>
          <w:p w14:paraId="094A905B"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Registros promovidos pelo(s) Fiscal(</w:t>
            </w:r>
            <w:proofErr w:type="spellStart"/>
            <w:r w:rsidRPr="00B114CF">
              <w:rPr>
                <w:rFonts w:ascii="Calibri" w:hAnsi="Calibri" w:cs="Calibri"/>
                <w:color w:val="000000"/>
                <w:sz w:val="22"/>
                <w:szCs w:val="22"/>
              </w:rPr>
              <w:t>is</w:t>
            </w:r>
            <w:proofErr w:type="spellEnd"/>
            <w:r w:rsidRPr="00B114CF">
              <w:rPr>
                <w:rFonts w:ascii="Calibri" w:hAnsi="Calibri" w:cs="Calibri"/>
                <w:color w:val="000000"/>
                <w:sz w:val="22"/>
                <w:szCs w:val="22"/>
              </w:rPr>
              <w:t xml:space="preserve">) do Contrato </w:t>
            </w:r>
          </w:p>
        </w:tc>
      </w:tr>
      <w:tr w:rsidR="00CB36C2" w:rsidRPr="00B114CF" w14:paraId="55186CCF" w14:textId="77777777" w:rsidTr="00A37464">
        <w:trPr>
          <w:trHeight w:val="1440"/>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25AD77CB"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Mecanismo de cálculo</w:t>
            </w:r>
          </w:p>
        </w:tc>
        <w:tc>
          <w:tcPr>
            <w:tcW w:w="5223" w:type="dxa"/>
            <w:tcBorders>
              <w:top w:val="nil"/>
              <w:left w:val="nil"/>
              <w:bottom w:val="single" w:sz="4" w:space="0" w:color="auto"/>
              <w:right w:val="single" w:sz="8" w:space="0" w:color="auto"/>
            </w:tcBorders>
            <w:shd w:val="clear" w:color="auto" w:fill="auto"/>
            <w:vAlign w:val="bottom"/>
            <w:hideMark/>
          </w:tcPr>
          <w:p w14:paraId="0AD98037"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Solicitada a presença do responsável, não atendida em até 24h, estará configurada a ocorrência. A sanção incidirá percentualmente sobre o valor do dia de trabalho, o qual entende-se como o valor total mensal da fatura dividido por 30 dias.</w:t>
            </w:r>
          </w:p>
        </w:tc>
      </w:tr>
      <w:tr w:rsidR="00CB36C2" w:rsidRPr="00B114CF" w14:paraId="4B3E6E50" w14:textId="77777777" w:rsidTr="00A37464">
        <w:trPr>
          <w:trHeight w:val="288"/>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25132F32"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Periodicidade</w:t>
            </w:r>
          </w:p>
        </w:tc>
        <w:tc>
          <w:tcPr>
            <w:tcW w:w="5223" w:type="dxa"/>
            <w:tcBorders>
              <w:top w:val="nil"/>
              <w:left w:val="nil"/>
              <w:bottom w:val="single" w:sz="4" w:space="0" w:color="auto"/>
              <w:right w:val="single" w:sz="8" w:space="0" w:color="auto"/>
            </w:tcBorders>
            <w:shd w:val="clear" w:color="auto" w:fill="auto"/>
            <w:vAlign w:val="bottom"/>
            <w:hideMark/>
          </w:tcPr>
          <w:p w14:paraId="6C065D83"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Diária.</w:t>
            </w:r>
          </w:p>
        </w:tc>
      </w:tr>
      <w:tr w:rsidR="00CB36C2" w:rsidRPr="00B114CF" w14:paraId="12B476E1" w14:textId="77777777" w:rsidTr="00A37464">
        <w:trPr>
          <w:trHeight w:val="576"/>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351AD97E"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Início de Vigência</w:t>
            </w:r>
          </w:p>
        </w:tc>
        <w:tc>
          <w:tcPr>
            <w:tcW w:w="5223" w:type="dxa"/>
            <w:tcBorders>
              <w:top w:val="nil"/>
              <w:left w:val="nil"/>
              <w:bottom w:val="single" w:sz="4" w:space="0" w:color="auto"/>
              <w:right w:val="single" w:sz="8" w:space="0" w:color="auto"/>
            </w:tcBorders>
            <w:shd w:val="clear" w:color="auto" w:fill="auto"/>
            <w:vAlign w:val="bottom"/>
            <w:hideMark/>
          </w:tcPr>
          <w:p w14:paraId="621675DC"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Concomitante ao início da prestação do serviço contratado.</w:t>
            </w:r>
          </w:p>
        </w:tc>
      </w:tr>
      <w:tr w:rsidR="00CB36C2" w:rsidRPr="00B114CF" w14:paraId="24C33325" w14:textId="77777777" w:rsidTr="00A37464">
        <w:trPr>
          <w:trHeight w:val="864"/>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3041562E"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Faixa de ajustes no pagamento</w:t>
            </w:r>
          </w:p>
        </w:tc>
        <w:tc>
          <w:tcPr>
            <w:tcW w:w="5223" w:type="dxa"/>
            <w:tcBorders>
              <w:top w:val="nil"/>
              <w:left w:val="nil"/>
              <w:bottom w:val="single" w:sz="4" w:space="0" w:color="auto"/>
              <w:right w:val="single" w:sz="8" w:space="0" w:color="auto"/>
            </w:tcBorders>
            <w:shd w:val="clear" w:color="auto" w:fill="auto"/>
            <w:vAlign w:val="bottom"/>
            <w:hideMark/>
          </w:tcPr>
          <w:p w14:paraId="5593DE47"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Redução de até 30% do valor do “dia de trabalho” por ocorrência., sem prejuízo da obrigatoriedade da imediata correção.</w:t>
            </w:r>
          </w:p>
        </w:tc>
      </w:tr>
      <w:tr w:rsidR="00CB36C2" w:rsidRPr="00B114CF" w14:paraId="230E57BD" w14:textId="77777777" w:rsidTr="00A37464">
        <w:trPr>
          <w:trHeight w:val="1152"/>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6F8DD4C0"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Sanções</w:t>
            </w:r>
          </w:p>
        </w:tc>
        <w:tc>
          <w:tcPr>
            <w:tcW w:w="5223" w:type="dxa"/>
            <w:tcBorders>
              <w:top w:val="nil"/>
              <w:left w:val="nil"/>
              <w:bottom w:val="single" w:sz="4" w:space="0" w:color="auto"/>
              <w:right w:val="single" w:sz="8" w:space="0" w:color="auto"/>
            </w:tcBorders>
            <w:shd w:val="clear" w:color="auto" w:fill="auto"/>
            <w:vAlign w:val="bottom"/>
            <w:hideMark/>
          </w:tcPr>
          <w:p w14:paraId="2F27C070"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1 (uma) a 3 (três) ocorrências = multa de 20% do valor do "dia de trabalho". Mais de 03 (três) ocorrências – multa de 30% do valor do "dia de trabalho".</w:t>
            </w:r>
          </w:p>
        </w:tc>
      </w:tr>
      <w:tr w:rsidR="00CB36C2" w:rsidRPr="00B114CF" w14:paraId="70C6831C" w14:textId="77777777" w:rsidTr="00A37464">
        <w:trPr>
          <w:trHeight w:val="300"/>
        </w:trPr>
        <w:tc>
          <w:tcPr>
            <w:tcW w:w="3414" w:type="dxa"/>
            <w:tcBorders>
              <w:top w:val="nil"/>
              <w:left w:val="single" w:sz="8" w:space="0" w:color="auto"/>
              <w:bottom w:val="single" w:sz="8" w:space="0" w:color="auto"/>
              <w:right w:val="single" w:sz="4" w:space="0" w:color="auto"/>
            </w:tcBorders>
            <w:shd w:val="clear" w:color="auto" w:fill="auto"/>
            <w:noWrap/>
            <w:vAlign w:val="bottom"/>
            <w:hideMark/>
          </w:tcPr>
          <w:p w14:paraId="7848B956"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Observações</w:t>
            </w:r>
          </w:p>
        </w:tc>
        <w:tc>
          <w:tcPr>
            <w:tcW w:w="5223" w:type="dxa"/>
            <w:tcBorders>
              <w:top w:val="nil"/>
              <w:left w:val="nil"/>
              <w:bottom w:val="single" w:sz="8" w:space="0" w:color="auto"/>
              <w:right w:val="single" w:sz="8" w:space="0" w:color="auto"/>
            </w:tcBorders>
            <w:shd w:val="clear" w:color="auto" w:fill="auto"/>
            <w:vAlign w:val="bottom"/>
            <w:hideMark/>
          </w:tcPr>
          <w:p w14:paraId="18FB039E"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 </w:t>
            </w:r>
          </w:p>
        </w:tc>
      </w:tr>
      <w:tr w:rsidR="00CB36C2" w:rsidRPr="00B114CF" w14:paraId="540B9164" w14:textId="77777777" w:rsidTr="00A37464">
        <w:trPr>
          <w:trHeight w:val="300"/>
        </w:trPr>
        <w:tc>
          <w:tcPr>
            <w:tcW w:w="3414" w:type="dxa"/>
            <w:tcBorders>
              <w:top w:val="nil"/>
              <w:left w:val="nil"/>
              <w:bottom w:val="nil"/>
              <w:right w:val="nil"/>
            </w:tcBorders>
            <w:shd w:val="clear" w:color="auto" w:fill="auto"/>
            <w:noWrap/>
            <w:vAlign w:val="bottom"/>
            <w:hideMark/>
          </w:tcPr>
          <w:p w14:paraId="0AA0CAA7" w14:textId="77777777" w:rsidR="00CB36C2" w:rsidRPr="00B114CF" w:rsidRDefault="00CB36C2" w:rsidP="00A37464">
            <w:pPr>
              <w:rPr>
                <w:rFonts w:ascii="Calibri" w:hAnsi="Calibri" w:cs="Calibri"/>
                <w:color w:val="000000"/>
                <w:sz w:val="22"/>
                <w:szCs w:val="22"/>
              </w:rPr>
            </w:pPr>
          </w:p>
        </w:tc>
        <w:tc>
          <w:tcPr>
            <w:tcW w:w="5223" w:type="dxa"/>
            <w:tcBorders>
              <w:top w:val="nil"/>
              <w:left w:val="nil"/>
              <w:bottom w:val="nil"/>
              <w:right w:val="nil"/>
            </w:tcBorders>
            <w:shd w:val="clear" w:color="auto" w:fill="auto"/>
            <w:vAlign w:val="bottom"/>
            <w:hideMark/>
          </w:tcPr>
          <w:p w14:paraId="558B1759" w14:textId="77777777" w:rsidR="00CB36C2" w:rsidRPr="00B114CF" w:rsidRDefault="00CB36C2" w:rsidP="00A37464">
            <w:pPr>
              <w:rPr>
                <w:sz w:val="20"/>
                <w:szCs w:val="20"/>
              </w:rPr>
            </w:pPr>
          </w:p>
        </w:tc>
      </w:tr>
      <w:tr w:rsidR="00CB36C2" w:rsidRPr="00B114CF" w14:paraId="4B4CA358" w14:textId="77777777" w:rsidTr="00A37464">
        <w:trPr>
          <w:trHeight w:val="588"/>
        </w:trPr>
        <w:tc>
          <w:tcPr>
            <w:tcW w:w="8637" w:type="dxa"/>
            <w:gridSpan w:val="2"/>
            <w:tcBorders>
              <w:top w:val="single" w:sz="8" w:space="0" w:color="auto"/>
              <w:left w:val="single" w:sz="8" w:space="0" w:color="auto"/>
              <w:bottom w:val="single" w:sz="4" w:space="0" w:color="auto"/>
              <w:right w:val="single" w:sz="8" w:space="0" w:color="000000"/>
            </w:tcBorders>
            <w:shd w:val="clear" w:color="auto" w:fill="auto"/>
            <w:vAlign w:val="bottom"/>
            <w:hideMark/>
          </w:tcPr>
          <w:p w14:paraId="5AD57DEC" w14:textId="4FB5FE7A" w:rsidR="00CB36C2" w:rsidRPr="00B114CF" w:rsidRDefault="00CB36C2" w:rsidP="00A37464">
            <w:pPr>
              <w:jc w:val="center"/>
              <w:rPr>
                <w:rFonts w:ascii="Calibri" w:hAnsi="Calibri" w:cs="Calibri"/>
                <w:b/>
                <w:bCs/>
                <w:color w:val="000000"/>
                <w:sz w:val="22"/>
                <w:szCs w:val="22"/>
              </w:rPr>
            </w:pPr>
            <w:r w:rsidRPr="00B114CF">
              <w:rPr>
                <w:rFonts w:ascii="Calibri" w:hAnsi="Calibri" w:cs="Calibri"/>
                <w:b/>
                <w:bCs/>
                <w:color w:val="000000"/>
                <w:sz w:val="22"/>
                <w:szCs w:val="22"/>
              </w:rPr>
              <w:t xml:space="preserve">INDICADOR </w:t>
            </w:r>
            <w:r>
              <w:rPr>
                <w:rFonts w:ascii="Calibri" w:hAnsi="Calibri" w:cs="Calibri"/>
                <w:b/>
                <w:bCs/>
                <w:color w:val="000000"/>
                <w:sz w:val="22"/>
                <w:szCs w:val="22"/>
              </w:rPr>
              <w:t>3</w:t>
            </w:r>
            <w:r w:rsidRPr="00B114CF">
              <w:rPr>
                <w:rFonts w:ascii="Calibri" w:hAnsi="Calibri" w:cs="Calibri"/>
                <w:b/>
                <w:bCs/>
                <w:color w:val="000000"/>
                <w:sz w:val="22"/>
                <w:szCs w:val="22"/>
              </w:rPr>
              <w:t xml:space="preserve"> - Apresentação de documentos e relatórios solicitados pela fiscalização</w:t>
            </w:r>
          </w:p>
        </w:tc>
      </w:tr>
      <w:tr w:rsidR="00CB36C2" w:rsidRPr="00B114CF" w14:paraId="634FCDF9" w14:textId="77777777" w:rsidTr="00A37464">
        <w:trPr>
          <w:trHeight w:val="288"/>
        </w:trPr>
        <w:tc>
          <w:tcPr>
            <w:tcW w:w="3414" w:type="dxa"/>
            <w:tcBorders>
              <w:top w:val="nil"/>
              <w:left w:val="single" w:sz="8" w:space="0" w:color="auto"/>
              <w:bottom w:val="single" w:sz="4" w:space="0" w:color="auto"/>
              <w:right w:val="single" w:sz="4" w:space="0" w:color="auto"/>
            </w:tcBorders>
            <w:shd w:val="clear" w:color="000000" w:fill="B4C6E7"/>
            <w:noWrap/>
            <w:vAlign w:val="bottom"/>
            <w:hideMark/>
          </w:tcPr>
          <w:p w14:paraId="5623544A" w14:textId="77777777" w:rsidR="00CB36C2" w:rsidRPr="00B114CF" w:rsidRDefault="00CB36C2" w:rsidP="00A37464">
            <w:pPr>
              <w:rPr>
                <w:rFonts w:ascii="Calibri" w:hAnsi="Calibri" w:cs="Calibri"/>
                <w:b/>
                <w:bCs/>
                <w:color w:val="000000"/>
                <w:sz w:val="22"/>
                <w:szCs w:val="22"/>
              </w:rPr>
            </w:pPr>
            <w:r w:rsidRPr="00B114CF">
              <w:rPr>
                <w:rFonts w:ascii="Calibri" w:hAnsi="Calibri" w:cs="Calibri"/>
                <w:b/>
                <w:bCs/>
                <w:color w:val="000000"/>
                <w:sz w:val="22"/>
                <w:szCs w:val="22"/>
              </w:rPr>
              <w:t>Item</w:t>
            </w:r>
          </w:p>
        </w:tc>
        <w:tc>
          <w:tcPr>
            <w:tcW w:w="5223" w:type="dxa"/>
            <w:tcBorders>
              <w:top w:val="nil"/>
              <w:left w:val="nil"/>
              <w:bottom w:val="single" w:sz="4" w:space="0" w:color="auto"/>
              <w:right w:val="single" w:sz="8" w:space="0" w:color="auto"/>
            </w:tcBorders>
            <w:shd w:val="clear" w:color="000000" w:fill="B4C6E7"/>
            <w:vAlign w:val="bottom"/>
            <w:hideMark/>
          </w:tcPr>
          <w:p w14:paraId="24657540" w14:textId="77777777" w:rsidR="00CB36C2" w:rsidRPr="00B114CF" w:rsidRDefault="00CB36C2" w:rsidP="00A37464">
            <w:pPr>
              <w:rPr>
                <w:rFonts w:ascii="Calibri" w:hAnsi="Calibri" w:cs="Calibri"/>
                <w:b/>
                <w:bCs/>
                <w:color w:val="000000"/>
                <w:sz w:val="22"/>
                <w:szCs w:val="22"/>
              </w:rPr>
            </w:pPr>
            <w:r w:rsidRPr="00B114CF">
              <w:rPr>
                <w:rFonts w:ascii="Calibri" w:hAnsi="Calibri" w:cs="Calibri"/>
                <w:b/>
                <w:bCs/>
                <w:color w:val="000000"/>
                <w:sz w:val="22"/>
                <w:szCs w:val="22"/>
              </w:rPr>
              <w:t>Descrição</w:t>
            </w:r>
          </w:p>
        </w:tc>
      </w:tr>
      <w:tr w:rsidR="00CB36C2" w:rsidRPr="00B114CF" w14:paraId="2324EC51" w14:textId="77777777" w:rsidTr="00A37464">
        <w:trPr>
          <w:trHeight w:val="576"/>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079DAC5E"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Finalidade</w:t>
            </w:r>
          </w:p>
        </w:tc>
        <w:tc>
          <w:tcPr>
            <w:tcW w:w="5223" w:type="dxa"/>
            <w:tcBorders>
              <w:top w:val="nil"/>
              <w:left w:val="nil"/>
              <w:bottom w:val="single" w:sz="4" w:space="0" w:color="auto"/>
              <w:right w:val="single" w:sz="8" w:space="0" w:color="auto"/>
            </w:tcBorders>
            <w:shd w:val="clear" w:color="auto" w:fill="auto"/>
            <w:vAlign w:val="bottom"/>
            <w:hideMark/>
          </w:tcPr>
          <w:p w14:paraId="46EA3CA2"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Garantir a apresentação de documentos e relatórios referentes à prestação do serviço.</w:t>
            </w:r>
          </w:p>
        </w:tc>
      </w:tr>
      <w:tr w:rsidR="00CB36C2" w:rsidRPr="00B114CF" w14:paraId="3035920B" w14:textId="77777777" w:rsidTr="00A37464">
        <w:trPr>
          <w:trHeight w:val="288"/>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5A8AB49E"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Meta a cumprir</w:t>
            </w:r>
          </w:p>
        </w:tc>
        <w:tc>
          <w:tcPr>
            <w:tcW w:w="5223" w:type="dxa"/>
            <w:tcBorders>
              <w:top w:val="nil"/>
              <w:left w:val="nil"/>
              <w:bottom w:val="single" w:sz="4" w:space="0" w:color="auto"/>
              <w:right w:val="single" w:sz="8" w:space="0" w:color="auto"/>
            </w:tcBorders>
            <w:shd w:val="clear" w:color="auto" w:fill="auto"/>
            <w:vAlign w:val="bottom"/>
            <w:hideMark/>
          </w:tcPr>
          <w:p w14:paraId="163FFF65"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Obter máxima eficiência na prestação do serviço.</w:t>
            </w:r>
          </w:p>
        </w:tc>
      </w:tr>
      <w:tr w:rsidR="00CB36C2" w:rsidRPr="00B114CF" w14:paraId="374B34C2" w14:textId="77777777" w:rsidTr="00A37464">
        <w:trPr>
          <w:trHeight w:val="864"/>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12308D5C"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Instrumento de Medição</w:t>
            </w:r>
          </w:p>
        </w:tc>
        <w:tc>
          <w:tcPr>
            <w:tcW w:w="5223" w:type="dxa"/>
            <w:tcBorders>
              <w:top w:val="nil"/>
              <w:left w:val="nil"/>
              <w:bottom w:val="single" w:sz="4" w:space="0" w:color="auto"/>
              <w:right w:val="single" w:sz="8" w:space="0" w:color="auto"/>
            </w:tcBorders>
            <w:shd w:val="clear" w:color="auto" w:fill="auto"/>
            <w:vAlign w:val="bottom"/>
            <w:hideMark/>
          </w:tcPr>
          <w:p w14:paraId="6BABC255"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Fiscalização do contrato, informações por mensagem eletrônica, memorando ou ofício; avaliação do solicitante.</w:t>
            </w:r>
          </w:p>
        </w:tc>
      </w:tr>
      <w:tr w:rsidR="00CB36C2" w:rsidRPr="00B114CF" w14:paraId="29BF00BA" w14:textId="77777777" w:rsidTr="00A37464">
        <w:trPr>
          <w:trHeight w:val="288"/>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5B33D64F"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Forma de acompanhamento</w:t>
            </w:r>
          </w:p>
        </w:tc>
        <w:tc>
          <w:tcPr>
            <w:tcW w:w="5223" w:type="dxa"/>
            <w:tcBorders>
              <w:top w:val="nil"/>
              <w:left w:val="nil"/>
              <w:bottom w:val="single" w:sz="4" w:space="0" w:color="auto"/>
              <w:right w:val="single" w:sz="8" w:space="0" w:color="auto"/>
            </w:tcBorders>
            <w:shd w:val="clear" w:color="auto" w:fill="auto"/>
            <w:vAlign w:val="bottom"/>
            <w:hideMark/>
          </w:tcPr>
          <w:p w14:paraId="6EB17AC0"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Registros promovidos pelo(s) Fiscal(</w:t>
            </w:r>
            <w:proofErr w:type="spellStart"/>
            <w:r w:rsidRPr="00B114CF">
              <w:rPr>
                <w:rFonts w:ascii="Calibri" w:hAnsi="Calibri" w:cs="Calibri"/>
                <w:color w:val="000000"/>
                <w:sz w:val="22"/>
                <w:szCs w:val="22"/>
              </w:rPr>
              <w:t>is</w:t>
            </w:r>
            <w:proofErr w:type="spellEnd"/>
            <w:r w:rsidRPr="00B114CF">
              <w:rPr>
                <w:rFonts w:ascii="Calibri" w:hAnsi="Calibri" w:cs="Calibri"/>
                <w:color w:val="000000"/>
                <w:sz w:val="22"/>
                <w:szCs w:val="22"/>
              </w:rPr>
              <w:t xml:space="preserve">) do Contrato </w:t>
            </w:r>
          </w:p>
        </w:tc>
      </w:tr>
      <w:tr w:rsidR="00CB36C2" w:rsidRPr="00B114CF" w14:paraId="0F989E67" w14:textId="77777777" w:rsidTr="00A37464">
        <w:trPr>
          <w:trHeight w:val="1728"/>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1F8BA57B"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Mecanismo de cálculo</w:t>
            </w:r>
          </w:p>
        </w:tc>
        <w:tc>
          <w:tcPr>
            <w:tcW w:w="5223" w:type="dxa"/>
            <w:tcBorders>
              <w:top w:val="nil"/>
              <w:left w:val="nil"/>
              <w:bottom w:val="single" w:sz="4" w:space="0" w:color="auto"/>
              <w:right w:val="single" w:sz="8" w:space="0" w:color="auto"/>
            </w:tcBorders>
            <w:shd w:val="clear" w:color="auto" w:fill="auto"/>
            <w:vAlign w:val="bottom"/>
            <w:hideMark/>
          </w:tcPr>
          <w:p w14:paraId="4B582537"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br/>
              <w:t>Solicitado o documento, não atendido em até 24 horas, estará configurada a ocorrência. A sanção incidirá percentualmente sobre o valor do dia de trabalho, o qual entende-se como o valor total mensal da fatura dividido por 30 dias.</w:t>
            </w:r>
          </w:p>
        </w:tc>
      </w:tr>
      <w:tr w:rsidR="00CB36C2" w:rsidRPr="00B114CF" w14:paraId="21FC322D" w14:textId="77777777" w:rsidTr="00A37464">
        <w:trPr>
          <w:trHeight w:val="288"/>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6D018CB6"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Periodicidade</w:t>
            </w:r>
          </w:p>
        </w:tc>
        <w:tc>
          <w:tcPr>
            <w:tcW w:w="5223" w:type="dxa"/>
            <w:tcBorders>
              <w:top w:val="nil"/>
              <w:left w:val="nil"/>
              <w:bottom w:val="single" w:sz="4" w:space="0" w:color="auto"/>
              <w:right w:val="single" w:sz="8" w:space="0" w:color="auto"/>
            </w:tcBorders>
            <w:shd w:val="clear" w:color="auto" w:fill="auto"/>
            <w:vAlign w:val="bottom"/>
            <w:hideMark/>
          </w:tcPr>
          <w:p w14:paraId="6F802444"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Mensal</w:t>
            </w:r>
          </w:p>
        </w:tc>
      </w:tr>
      <w:tr w:rsidR="00CB36C2" w:rsidRPr="00B114CF" w14:paraId="76E7EB54" w14:textId="77777777" w:rsidTr="00A37464">
        <w:trPr>
          <w:trHeight w:val="576"/>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631DAA5C"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Início de Vigência</w:t>
            </w:r>
          </w:p>
        </w:tc>
        <w:tc>
          <w:tcPr>
            <w:tcW w:w="5223" w:type="dxa"/>
            <w:tcBorders>
              <w:top w:val="nil"/>
              <w:left w:val="nil"/>
              <w:bottom w:val="single" w:sz="4" w:space="0" w:color="auto"/>
              <w:right w:val="single" w:sz="8" w:space="0" w:color="auto"/>
            </w:tcBorders>
            <w:shd w:val="clear" w:color="auto" w:fill="auto"/>
            <w:vAlign w:val="bottom"/>
            <w:hideMark/>
          </w:tcPr>
          <w:p w14:paraId="041D663D"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Concomitante ao início da prestação do serviço contratado.</w:t>
            </w:r>
          </w:p>
        </w:tc>
      </w:tr>
      <w:tr w:rsidR="00CB36C2" w:rsidRPr="00B114CF" w14:paraId="38229EF0" w14:textId="77777777" w:rsidTr="00A37464">
        <w:trPr>
          <w:trHeight w:val="864"/>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3A3BE60F"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Faixa de ajustes no pagamento</w:t>
            </w:r>
          </w:p>
        </w:tc>
        <w:tc>
          <w:tcPr>
            <w:tcW w:w="5223" w:type="dxa"/>
            <w:tcBorders>
              <w:top w:val="nil"/>
              <w:left w:val="nil"/>
              <w:bottom w:val="single" w:sz="4" w:space="0" w:color="auto"/>
              <w:right w:val="single" w:sz="8" w:space="0" w:color="auto"/>
            </w:tcBorders>
            <w:shd w:val="clear" w:color="auto" w:fill="auto"/>
            <w:vAlign w:val="bottom"/>
            <w:hideMark/>
          </w:tcPr>
          <w:p w14:paraId="26F5A0B2"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Redução de até 30% do valor do “dia de trabalho” por ocorrência., sem prejuízo da obrigatoriedade da imediata correção.</w:t>
            </w:r>
          </w:p>
        </w:tc>
      </w:tr>
      <w:tr w:rsidR="00CB36C2" w:rsidRPr="00B114CF" w14:paraId="7C269FA3" w14:textId="77777777" w:rsidTr="00A37464">
        <w:trPr>
          <w:trHeight w:val="864"/>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23382199"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Sanções</w:t>
            </w:r>
          </w:p>
        </w:tc>
        <w:tc>
          <w:tcPr>
            <w:tcW w:w="5223" w:type="dxa"/>
            <w:tcBorders>
              <w:top w:val="nil"/>
              <w:left w:val="nil"/>
              <w:bottom w:val="single" w:sz="4" w:space="0" w:color="auto"/>
              <w:right w:val="single" w:sz="8" w:space="0" w:color="auto"/>
            </w:tcBorders>
            <w:shd w:val="clear" w:color="auto" w:fill="auto"/>
            <w:vAlign w:val="bottom"/>
            <w:hideMark/>
          </w:tcPr>
          <w:p w14:paraId="3B6DBE34"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Redução de até 30% do valor do “dia de trabalho” por ocorrência, sem prejuízo da obrigatoriedade da imediata correção.</w:t>
            </w:r>
          </w:p>
        </w:tc>
      </w:tr>
      <w:tr w:rsidR="00CB36C2" w:rsidRPr="00B114CF" w14:paraId="0C590B10" w14:textId="77777777" w:rsidTr="00A37464">
        <w:trPr>
          <w:trHeight w:val="300"/>
        </w:trPr>
        <w:tc>
          <w:tcPr>
            <w:tcW w:w="3414" w:type="dxa"/>
            <w:tcBorders>
              <w:top w:val="nil"/>
              <w:left w:val="single" w:sz="8" w:space="0" w:color="auto"/>
              <w:bottom w:val="single" w:sz="8" w:space="0" w:color="auto"/>
              <w:right w:val="single" w:sz="4" w:space="0" w:color="auto"/>
            </w:tcBorders>
            <w:shd w:val="clear" w:color="auto" w:fill="auto"/>
            <w:noWrap/>
            <w:vAlign w:val="bottom"/>
            <w:hideMark/>
          </w:tcPr>
          <w:p w14:paraId="70C72CBE"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Observações</w:t>
            </w:r>
          </w:p>
        </w:tc>
        <w:tc>
          <w:tcPr>
            <w:tcW w:w="5223" w:type="dxa"/>
            <w:tcBorders>
              <w:top w:val="nil"/>
              <w:left w:val="nil"/>
              <w:bottom w:val="single" w:sz="8" w:space="0" w:color="auto"/>
              <w:right w:val="single" w:sz="8" w:space="0" w:color="auto"/>
            </w:tcBorders>
            <w:shd w:val="clear" w:color="auto" w:fill="auto"/>
            <w:vAlign w:val="bottom"/>
            <w:hideMark/>
          </w:tcPr>
          <w:p w14:paraId="240C7108"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 </w:t>
            </w:r>
          </w:p>
        </w:tc>
      </w:tr>
      <w:tr w:rsidR="00CB36C2" w:rsidRPr="00B114CF" w14:paraId="56078C96" w14:textId="77777777" w:rsidTr="00A37464">
        <w:trPr>
          <w:trHeight w:val="288"/>
        </w:trPr>
        <w:tc>
          <w:tcPr>
            <w:tcW w:w="3414" w:type="dxa"/>
            <w:tcBorders>
              <w:top w:val="nil"/>
              <w:left w:val="nil"/>
              <w:bottom w:val="nil"/>
              <w:right w:val="nil"/>
            </w:tcBorders>
            <w:shd w:val="clear" w:color="auto" w:fill="auto"/>
            <w:noWrap/>
            <w:vAlign w:val="bottom"/>
            <w:hideMark/>
          </w:tcPr>
          <w:p w14:paraId="4F0A1F68" w14:textId="77777777" w:rsidR="00CB36C2" w:rsidRPr="00B114CF" w:rsidRDefault="00CB36C2" w:rsidP="00A37464">
            <w:pPr>
              <w:rPr>
                <w:rFonts w:ascii="Calibri" w:hAnsi="Calibri" w:cs="Calibri"/>
                <w:color w:val="000000"/>
                <w:sz w:val="22"/>
                <w:szCs w:val="22"/>
              </w:rPr>
            </w:pPr>
          </w:p>
        </w:tc>
        <w:tc>
          <w:tcPr>
            <w:tcW w:w="5223" w:type="dxa"/>
            <w:tcBorders>
              <w:top w:val="nil"/>
              <w:left w:val="nil"/>
              <w:bottom w:val="nil"/>
              <w:right w:val="nil"/>
            </w:tcBorders>
            <w:shd w:val="clear" w:color="auto" w:fill="auto"/>
            <w:vAlign w:val="bottom"/>
            <w:hideMark/>
          </w:tcPr>
          <w:p w14:paraId="5263B445" w14:textId="77777777" w:rsidR="00CB36C2" w:rsidRPr="00B114CF" w:rsidRDefault="00CB36C2" w:rsidP="00A37464">
            <w:pPr>
              <w:rPr>
                <w:sz w:val="20"/>
                <w:szCs w:val="20"/>
              </w:rPr>
            </w:pPr>
          </w:p>
        </w:tc>
      </w:tr>
      <w:tr w:rsidR="00CB36C2" w:rsidRPr="00B114CF" w14:paraId="1DC99DC7" w14:textId="77777777" w:rsidTr="00A37464">
        <w:trPr>
          <w:trHeight w:val="300"/>
        </w:trPr>
        <w:tc>
          <w:tcPr>
            <w:tcW w:w="3414" w:type="dxa"/>
            <w:tcBorders>
              <w:top w:val="nil"/>
              <w:left w:val="nil"/>
              <w:bottom w:val="nil"/>
              <w:right w:val="nil"/>
            </w:tcBorders>
            <w:shd w:val="clear" w:color="auto" w:fill="auto"/>
            <w:noWrap/>
            <w:vAlign w:val="bottom"/>
            <w:hideMark/>
          </w:tcPr>
          <w:p w14:paraId="7AA9484E" w14:textId="77777777" w:rsidR="00CB36C2" w:rsidRPr="00B114CF" w:rsidRDefault="00CB36C2" w:rsidP="00A37464">
            <w:pPr>
              <w:rPr>
                <w:sz w:val="20"/>
                <w:szCs w:val="20"/>
              </w:rPr>
            </w:pPr>
          </w:p>
        </w:tc>
        <w:tc>
          <w:tcPr>
            <w:tcW w:w="5223" w:type="dxa"/>
            <w:tcBorders>
              <w:top w:val="nil"/>
              <w:left w:val="nil"/>
              <w:bottom w:val="nil"/>
              <w:right w:val="nil"/>
            </w:tcBorders>
            <w:shd w:val="clear" w:color="auto" w:fill="auto"/>
            <w:vAlign w:val="bottom"/>
            <w:hideMark/>
          </w:tcPr>
          <w:p w14:paraId="4B47D52B" w14:textId="77777777" w:rsidR="00CB36C2" w:rsidRPr="00B114CF" w:rsidRDefault="00CB36C2" w:rsidP="00A37464">
            <w:pPr>
              <w:rPr>
                <w:sz w:val="20"/>
                <w:szCs w:val="20"/>
              </w:rPr>
            </w:pPr>
          </w:p>
        </w:tc>
      </w:tr>
      <w:tr w:rsidR="00CB36C2" w:rsidRPr="00B114CF" w14:paraId="29A100F4" w14:textId="77777777" w:rsidTr="00A37464">
        <w:trPr>
          <w:trHeight w:val="288"/>
        </w:trPr>
        <w:tc>
          <w:tcPr>
            <w:tcW w:w="8637"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AB695E3" w14:textId="0B84DFCA" w:rsidR="00CB36C2" w:rsidRPr="00B114CF" w:rsidRDefault="00CB36C2" w:rsidP="00A37464">
            <w:pPr>
              <w:jc w:val="center"/>
              <w:rPr>
                <w:rFonts w:ascii="Calibri" w:hAnsi="Calibri" w:cs="Calibri"/>
                <w:b/>
                <w:bCs/>
                <w:color w:val="000000"/>
                <w:sz w:val="22"/>
                <w:szCs w:val="22"/>
              </w:rPr>
            </w:pPr>
            <w:r w:rsidRPr="00B114CF">
              <w:rPr>
                <w:rFonts w:ascii="Calibri" w:hAnsi="Calibri" w:cs="Calibri"/>
                <w:b/>
                <w:bCs/>
                <w:color w:val="000000"/>
                <w:sz w:val="22"/>
                <w:szCs w:val="22"/>
              </w:rPr>
              <w:t xml:space="preserve">INDICADOR </w:t>
            </w:r>
            <w:r>
              <w:rPr>
                <w:rFonts w:ascii="Calibri" w:hAnsi="Calibri" w:cs="Calibri"/>
                <w:b/>
                <w:bCs/>
                <w:color w:val="000000"/>
                <w:sz w:val="22"/>
                <w:szCs w:val="22"/>
              </w:rPr>
              <w:t>4</w:t>
            </w:r>
            <w:r w:rsidRPr="00B114CF">
              <w:rPr>
                <w:rFonts w:ascii="Calibri" w:hAnsi="Calibri" w:cs="Calibri"/>
                <w:b/>
                <w:bCs/>
                <w:color w:val="000000"/>
                <w:sz w:val="22"/>
                <w:szCs w:val="22"/>
              </w:rPr>
              <w:t xml:space="preserve"> - Cumprimento das Obrigações trabalhistas</w:t>
            </w:r>
          </w:p>
        </w:tc>
      </w:tr>
      <w:tr w:rsidR="00CB36C2" w:rsidRPr="00B114CF" w14:paraId="4BA00C96" w14:textId="77777777" w:rsidTr="00A37464">
        <w:trPr>
          <w:trHeight w:val="288"/>
        </w:trPr>
        <w:tc>
          <w:tcPr>
            <w:tcW w:w="3414" w:type="dxa"/>
            <w:tcBorders>
              <w:top w:val="nil"/>
              <w:left w:val="single" w:sz="8" w:space="0" w:color="auto"/>
              <w:bottom w:val="single" w:sz="4" w:space="0" w:color="auto"/>
              <w:right w:val="single" w:sz="4" w:space="0" w:color="auto"/>
            </w:tcBorders>
            <w:shd w:val="clear" w:color="000000" w:fill="B4C6E7"/>
            <w:noWrap/>
            <w:vAlign w:val="bottom"/>
            <w:hideMark/>
          </w:tcPr>
          <w:p w14:paraId="20AE622A" w14:textId="77777777" w:rsidR="00CB36C2" w:rsidRPr="00B114CF" w:rsidRDefault="00CB36C2" w:rsidP="00A37464">
            <w:pPr>
              <w:rPr>
                <w:rFonts w:ascii="Calibri" w:hAnsi="Calibri" w:cs="Calibri"/>
                <w:b/>
                <w:bCs/>
                <w:color w:val="000000"/>
                <w:sz w:val="22"/>
                <w:szCs w:val="22"/>
              </w:rPr>
            </w:pPr>
            <w:r w:rsidRPr="00B114CF">
              <w:rPr>
                <w:rFonts w:ascii="Calibri" w:hAnsi="Calibri" w:cs="Calibri"/>
                <w:b/>
                <w:bCs/>
                <w:color w:val="000000"/>
                <w:sz w:val="22"/>
                <w:szCs w:val="22"/>
              </w:rPr>
              <w:t>Item</w:t>
            </w:r>
          </w:p>
        </w:tc>
        <w:tc>
          <w:tcPr>
            <w:tcW w:w="5223" w:type="dxa"/>
            <w:tcBorders>
              <w:top w:val="nil"/>
              <w:left w:val="nil"/>
              <w:bottom w:val="single" w:sz="4" w:space="0" w:color="auto"/>
              <w:right w:val="single" w:sz="8" w:space="0" w:color="auto"/>
            </w:tcBorders>
            <w:shd w:val="clear" w:color="000000" w:fill="B4C6E7"/>
            <w:vAlign w:val="bottom"/>
            <w:hideMark/>
          </w:tcPr>
          <w:p w14:paraId="5CF8B0B6" w14:textId="77777777" w:rsidR="00CB36C2" w:rsidRPr="00B114CF" w:rsidRDefault="00CB36C2" w:rsidP="00A37464">
            <w:pPr>
              <w:rPr>
                <w:rFonts w:ascii="Calibri" w:hAnsi="Calibri" w:cs="Calibri"/>
                <w:b/>
                <w:bCs/>
                <w:color w:val="000000"/>
                <w:sz w:val="22"/>
                <w:szCs w:val="22"/>
              </w:rPr>
            </w:pPr>
            <w:r w:rsidRPr="00B114CF">
              <w:rPr>
                <w:rFonts w:ascii="Calibri" w:hAnsi="Calibri" w:cs="Calibri"/>
                <w:b/>
                <w:bCs/>
                <w:color w:val="000000"/>
                <w:sz w:val="22"/>
                <w:szCs w:val="22"/>
              </w:rPr>
              <w:t>Descrição</w:t>
            </w:r>
          </w:p>
        </w:tc>
      </w:tr>
      <w:tr w:rsidR="00CB36C2" w:rsidRPr="00B114CF" w14:paraId="6B49DA42" w14:textId="77777777" w:rsidTr="00A37464">
        <w:trPr>
          <w:trHeight w:val="576"/>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560FA17F"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Finalidade</w:t>
            </w:r>
          </w:p>
        </w:tc>
        <w:tc>
          <w:tcPr>
            <w:tcW w:w="5223" w:type="dxa"/>
            <w:tcBorders>
              <w:top w:val="nil"/>
              <w:left w:val="nil"/>
              <w:bottom w:val="single" w:sz="4" w:space="0" w:color="auto"/>
              <w:right w:val="single" w:sz="8" w:space="0" w:color="auto"/>
            </w:tcBorders>
            <w:shd w:val="clear" w:color="auto" w:fill="auto"/>
            <w:vAlign w:val="bottom"/>
            <w:hideMark/>
          </w:tcPr>
          <w:p w14:paraId="30B35829"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Garantir o atendimento das normas trabalhistas por parte da empresa contratada.</w:t>
            </w:r>
          </w:p>
        </w:tc>
      </w:tr>
      <w:tr w:rsidR="00CB36C2" w:rsidRPr="00B114CF" w14:paraId="7F149FF5" w14:textId="77777777" w:rsidTr="00A37464">
        <w:trPr>
          <w:trHeight w:val="288"/>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0B470D1E"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Meta a cumprir</w:t>
            </w:r>
          </w:p>
        </w:tc>
        <w:tc>
          <w:tcPr>
            <w:tcW w:w="5223" w:type="dxa"/>
            <w:tcBorders>
              <w:top w:val="nil"/>
              <w:left w:val="nil"/>
              <w:bottom w:val="single" w:sz="4" w:space="0" w:color="auto"/>
              <w:right w:val="single" w:sz="8" w:space="0" w:color="auto"/>
            </w:tcBorders>
            <w:shd w:val="clear" w:color="auto" w:fill="auto"/>
            <w:vAlign w:val="bottom"/>
            <w:hideMark/>
          </w:tcPr>
          <w:p w14:paraId="3FCEE42E"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Manter adimplidas as obrigações trabalhistas.</w:t>
            </w:r>
          </w:p>
        </w:tc>
      </w:tr>
      <w:tr w:rsidR="00CB36C2" w:rsidRPr="00B114CF" w14:paraId="18A83486" w14:textId="77777777" w:rsidTr="00A37464">
        <w:trPr>
          <w:trHeight w:val="576"/>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554985BF"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Instrumento de Medição</w:t>
            </w:r>
          </w:p>
        </w:tc>
        <w:tc>
          <w:tcPr>
            <w:tcW w:w="5223" w:type="dxa"/>
            <w:tcBorders>
              <w:top w:val="nil"/>
              <w:left w:val="nil"/>
              <w:bottom w:val="single" w:sz="4" w:space="0" w:color="auto"/>
              <w:right w:val="single" w:sz="8" w:space="0" w:color="auto"/>
            </w:tcBorders>
            <w:shd w:val="clear" w:color="auto" w:fill="auto"/>
            <w:vAlign w:val="bottom"/>
            <w:hideMark/>
          </w:tcPr>
          <w:p w14:paraId="009CC117"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Verificação promovida pelo fiscal do contrato, mediante emissão de relatório.</w:t>
            </w:r>
          </w:p>
        </w:tc>
      </w:tr>
      <w:tr w:rsidR="00CB36C2" w:rsidRPr="00B114CF" w14:paraId="6305572E" w14:textId="77777777" w:rsidTr="00A37464">
        <w:trPr>
          <w:trHeight w:val="576"/>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07F3AFC2"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Forma de acompanhamento</w:t>
            </w:r>
          </w:p>
        </w:tc>
        <w:tc>
          <w:tcPr>
            <w:tcW w:w="5223" w:type="dxa"/>
            <w:tcBorders>
              <w:top w:val="nil"/>
              <w:left w:val="nil"/>
              <w:bottom w:val="single" w:sz="4" w:space="0" w:color="auto"/>
              <w:right w:val="single" w:sz="8" w:space="0" w:color="auto"/>
            </w:tcBorders>
            <w:shd w:val="clear" w:color="auto" w:fill="auto"/>
            <w:vAlign w:val="bottom"/>
            <w:hideMark/>
          </w:tcPr>
          <w:p w14:paraId="2AAA5180"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Apresentação de extratos de depósito em conta, guias de recolhimento, fiscalização do contrato.</w:t>
            </w:r>
          </w:p>
        </w:tc>
      </w:tr>
      <w:tr w:rsidR="00CB36C2" w:rsidRPr="00B114CF" w14:paraId="642BF4C0" w14:textId="77777777" w:rsidTr="00A37464">
        <w:trPr>
          <w:trHeight w:val="2016"/>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5EEE6054"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Mecanismo de cálculo</w:t>
            </w:r>
          </w:p>
        </w:tc>
        <w:tc>
          <w:tcPr>
            <w:tcW w:w="5223" w:type="dxa"/>
            <w:tcBorders>
              <w:top w:val="nil"/>
              <w:left w:val="nil"/>
              <w:bottom w:val="single" w:sz="4" w:space="0" w:color="auto"/>
              <w:right w:val="single" w:sz="8" w:space="0" w:color="auto"/>
            </w:tcBorders>
            <w:shd w:val="clear" w:color="auto" w:fill="auto"/>
            <w:vAlign w:val="bottom"/>
            <w:hideMark/>
          </w:tcPr>
          <w:p w14:paraId="79F26C26"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br/>
              <w:t>Na hipótese de o fiscal verificar pendência de natureza trabalhista (por falta de pagamento das obrigações), deverá alertar ao responsável pela empresa quanto à pendência e assinalar as diligências para solução. Não atendidas as diligências em 72 horas estará caracterizada a ocorrência.</w:t>
            </w:r>
          </w:p>
        </w:tc>
      </w:tr>
      <w:tr w:rsidR="00CB36C2" w:rsidRPr="00B114CF" w14:paraId="77BB0DC7" w14:textId="77777777" w:rsidTr="00A37464">
        <w:trPr>
          <w:trHeight w:val="288"/>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055948D7"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Periodicidade</w:t>
            </w:r>
          </w:p>
        </w:tc>
        <w:tc>
          <w:tcPr>
            <w:tcW w:w="5223" w:type="dxa"/>
            <w:tcBorders>
              <w:top w:val="nil"/>
              <w:left w:val="nil"/>
              <w:bottom w:val="single" w:sz="4" w:space="0" w:color="auto"/>
              <w:right w:val="single" w:sz="8" w:space="0" w:color="auto"/>
            </w:tcBorders>
            <w:shd w:val="clear" w:color="auto" w:fill="auto"/>
            <w:vAlign w:val="bottom"/>
            <w:hideMark/>
          </w:tcPr>
          <w:p w14:paraId="4D4C0079"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Mensal.</w:t>
            </w:r>
          </w:p>
        </w:tc>
      </w:tr>
      <w:tr w:rsidR="00CB36C2" w:rsidRPr="00B114CF" w14:paraId="724076FD" w14:textId="77777777" w:rsidTr="00A37464">
        <w:trPr>
          <w:trHeight w:val="576"/>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5E0C73BE"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Início de Vigência</w:t>
            </w:r>
          </w:p>
        </w:tc>
        <w:tc>
          <w:tcPr>
            <w:tcW w:w="5223" w:type="dxa"/>
            <w:tcBorders>
              <w:top w:val="nil"/>
              <w:left w:val="nil"/>
              <w:bottom w:val="single" w:sz="4" w:space="0" w:color="auto"/>
              <w:right w:val="single" w:sz="8" w:space="0" w:color="auto"/>
            </w:tcBorders>
            <w:shd w:val="clear" w:color="auto" w:fill="auto"/>
            <w:vAlign w:val="bottom"/>
            <w:hideMark/>
          </w:tcPr>
          <w:p w14:paraId="1EC121F5"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Concomitante ao início da prestação do serviço contratado.</w:t>
            </w:r>
          </w:p>
        </w:tc>
      </w:tr>
      <w:tr w:rsidR="00CB36C2" w:rsidRPr="00B114CF" w14:paraId="1B6012D9" w14:textId="77777777" w:rsidTr="00A37464">
        <w:trPr>
          <w:trHeight w:val="576"/>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2E21B096"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Faixa de ajustes no pagamento</w:t>
            </w:r>
          </w:p>
        </w:tc>
        <w:tc>
          <w:tcPr>
            <w:tcW w:w="5223" w:type="dxa"/>
            <w:tcBorders>
              <w:top w:val="nil"/>
              <w:left w:val="nil"/>
              <w:bottom w:val="single" w:sz="4" w:space="0" w:color="auto"/>
              <w:right w:val="single" w:sz="8" w:space="0" w:color="auto"/>
            </w:tcBorders>
            <w:shd w:val="clear" w:color="auto" w:fill="auto"/>
            <w:vAlign w:val="bottom"/>
            <w:hideMark/>
          </w:tcPr>
          <w:p w14:paraId="5D803AE4"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Retenção dos valores correspondentes não pagos até o saneamento das irregularidades.</w:t>
            </w:r>
          </w:p>
        </w:tc>
      </w:tr>
      <w:tr w:rsidR="00CB36C2" w:rsidRPr="00B114CF" w14:paraId="7B804A98" w14:textId="77777777" w:rsidTr="00A37464">
        <w:trPr>
          <w:trHeight w:val="576"/>
        </w:trPr>
        <w:tc>
          <w:tcPr>
            <w:tcW w:w="3414" w:type="dxa"/>
            <w:tcBorders>
              <w:top w:val="nil"/>
              <w:left w:val="single" w:sz="8" w:space="0" w:color="auto"/>
              <w:bottom w:val="single" w:sz="4" w:space="0" w:color="auto"/>
              <w:right w:val="single" w:sz="4" w:space="0" w:color="auto"/>
            </w:tcBorders>
            <w:shd w:val="clear" w:color="auto" w:fill="auto"/>
            <w:noWrap/>
            <w:vAlign w:val="bottom"/>
            <w:hideMark/>
          </w:tcPr>
          <w:p w14:paraId="4FBFD663"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Sanções</w:t>
            </w:r>
          </w:p>
        </w:tc>
        <w:tc>
          <w:tcPr>
            <w:tcW w:w="5223" w:type="dxa"/>
            <w:tcBorders>
              <w:top w:val="nil"/>
              <w:left w:val="nil"/>
              <w:bottom w:val="single" w:sz="4" w:space="0" w:color="auto"/>
              <w:right w:val="single" w:sz="8" w:space="0" w:color="auto"/>
            </w:tcBorders>
            <w:shd w:val="clear" w:color="auto" w:fill="auto"/>
            <w:vAlign w:val="bottom"/>
            <w:hideMark/>
          </w:tcPr>
          <w:p w14:paraId="0D907FB7"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Retenção de 100% (cem por cento) dos valores não adimplidos por faturamento.</w:t>
            </w:r>
          </w:p>
        </w:tc>
      </w:tr>
      <w:tr w:rsidR="00CB36C2" w:rsidRPr="00B114CF" w14:paraId="7054E711" w14:textId="77777777" w:rsidTr="00A37464">
        <w:trPr>
          <w:trHeight w:val="300"/>
        </w:trPr>
        <w:tc>
          <w:tcPr>
            <w:tcW w:w="3414" w:type="dxa"/>
            <w:tcBorders>
              <w:top w:val="nil"/>
              <w:left w:val="single" w:sz="8" w:space="0" w:color="auto"/>
              <w:bottom w:val="single" w:sz="8" w:space="0" w:color="auto"/>
              <w:right w:val="single" w:sz="4" w:space="0" w:color="auto"/>
            </w:tcBorders>
            <w:shd w:val="clear" w:color="auto" w:fill="auto"/>
            <w:noWrap/>
            <w:vAlign w:val="bottom"/>
            <w:hideMark/>
          </w:tcPr>
          <w:p w14:paraId="03BAB57D"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Observações</w:t>
            </w:r>
          </w:p>
        </w:tc>
        <w:tc>
          <w:tcPr>
            <w:tcW w:w="5223" w:type="dxa"/>
            <w:tcBorders>
              <w:top w:val="nil"/>
              <w:left w:val="nil"/>
              <w:bottom w:val="single" w:sz="8" w:space="0" w:color="auto"/>
              <w:right w:val="single" w:sz="8" w:space="0" w:color="auto"/>
            </w:tcBorders>
            <w:shd w:val="clear" w:color="auto" w:fill="auto"/>
            <w:vAlign w:val="bottom"/>
            <w:hideMark/>
          </w:tcPr>
          <w:p w14:paraId="2CD13116" w14:textId="77777777" w:rsidR="00CB36C2" w:rsidRPr="00B114CF" w:rsidRDefault="00CB36C2" w:rsidP="00A37464">
            <w:pPr>
              <w:rPr>
                <w:rFonts w:ascii="Calibri" w:hAnsi="Calibri" w:cs="Calibri"/>
                <w:color w:val="000000"/>
                <w:sz w:val="22"/>
                <w:szCs w:val="22"/>
              </w:rPr>
            </w:pPr>
            <w:r w:rsidRPr="00B114CF">
              <w:rPr>
                <w:rFonts w:ascii="Calibri" w:hAnsi="Calibri" w:cs="Calibri"/>
                <w:color w:val="000000"/>
                <w:sz w:val="22"/>
                <w:szCs w:val="22"/>
              </w:rPr>
              <w:t> </w:t>
            </w:r>
          </w:p>
        </w:tc>
      </w:tr>
    </w:tbl>
    <w:p w14:paraId="04315B5C" w14:textId="77777777" w:rsidR="00CB36C2" w:rsidRPr="00D71EC1" w:rsidRDefault="00CB36C2" w:rsidP="00CB36C2">
      <w:pPr>
        <w:pStyle w:val="PargrafodaLista"/>
        <w:tabs>
          <w:tab w:val="left" w:pos="426"/>
        </w:tabs>
        <w:ind w:left="360"/>
        <w:jc w:val="both"/>
        <w:rPr>
          <w:rFonts w:ascii="Verdana" w:eastAsia="Arial Unicode MS" w:hAnsi="Verdana" w:cs="Arial"/>
          <w:b/>
          <w:szCs w:val="20"/>
        </w:rPr>
      </w:pPr>
    </w:p>
    <w:p w14:paraId="748A865A" w14:textId="77777777" w:rsidR="00CB36C2" w:rsidRPr="00D71EC1" w:rsidRDefault="00CB36C2" w:rsidP="00CB36C2">
      <w:pPr>
        <w:pStyle w:val="PargrafodaLista"/>
        <w:tabs>
          <w:tab w:val="left" w:pos="426"/>
        </w:tabs>
        <w:ind w:left="360"/>
        <w:jc w:val="both"/>
        <w:rPr>
          <w:rFonts w:ascii="Verdana" w:eastAsia="Arial Unicode MS" w:hAnsi="Verdana" w:cs="Arial"/>
          <w:b/>
          <w:szCs w:val="20"/>
        </w:rPr>
      </w:pPr>
    </w:p>
    <w:p w14:paraId="69BD0EE3" w14:textId="77777777" w:rsidR="00CB36C2" w:rsidRPr="00D71EC1" w:rsidRDefault="00CB36C2" w:rsidP="00CB36C2">
      <w:pPr>
        <w:pStyle w:val="PargrafodaLista"/>
        <w:tabs>
          <w:tab w:val="left" w:pos="426"/>
        </w:tabs>
        <w:ind w:left="360"/>
        <w:jc w:val="both"/>
        <w:rPr>
          <w:rFonts w:ascii="Verdana" w:eastAsia="Arial Unicode MS" w:hAnsi="Verdana" w:cs="Arial"/>
          <w:b/>
          <w:szCs w:val="20"/>
        </w:rPr>
      </w:pPr>
    </w:p>
    <w:p w14:paraId="6BAB0426" w14:textId="77777777" w:rsidR="00844C39" w:rsidRPr="00844C39" w:rsidRDefault="00844C39" w:rsidP="00743B8B">
      <w:pPr>
        <w:pStyle w:val="PargrafodaLista"/>
        <w:tabs>
          <w:tab w:val="left" w:pos="426"/>
        </w:tabs>
        <w:ind w:left="360"/>
        <w:jc w:val="both"/>
        <w:rPr>
          <w:rFonts w:asciiTheme="minorHAnsi" w:eastAsia="Arial Unicode MS" w:hAnsiTheme="minorHAnsi" w:cstheme="minorHAnsi"/>
          <w:b/>
          <w:sz w:val="20"/>
          <w:szCs w:val="20"/>
        </w:rPr>
      </w:pPr>
    </w:p>
    <w:p w14:paraId="5FF9F09F" w14:textId="77777777" w:rsidR="00844C39" w:rsidRPr="00844C39" w:rsidRDefault="00844C39" w:rsidP="00844C39">
      <w:pPr>
        <w:ind w:firstLine="708"/>
        <w:jc w:val="both"/>
        <w:rPr>
          <w:rFonts w:asciiTheme="minorHAnsi" w:hAnsiTheme="minorHAnsi" w:cstheme="minorHAnsi"/>
          <w:sz w:val="20"/>
          <w:szCs w:val="20"/>
        </w:rPr>
      </w:pPr>
      <w:r w:rsidRPr="00844C39">
        <w:rPr>
          <w:rFonts w:asciiTheme="minorHAnsi" w:hAnsiTheme="minorHAnsi" w:cstheme="minorHAnsi"/>
          <w:sz w:val="20"/>
          <w:szCs w:val="20"/>
        </w:rPr>
        <w:t xml:space="preserve">A adoção e uso dos critérios do IMR, vinculado às ordens de serviço, tem como foco definir claramente padrões de qualidade e responsabilidades da CONTRATADA, garantindo a identificação de problemas e adoção de ações preventivas e/ou corretivas. No IMR está definida a maneira pela qual os produtos serão avaliados e as deduções a serem aplicadas na fatura mensal, quando o serviço prestado não alcançar o nível mínimo aceitável. </w:t>
      </w:r>
    </w:p>
    <w:p w14:paraId="1290F0DC" w14:textId="77777777" w:rsidR="00844C39" w:rsidRPr="00844C39" w:rsidRDefault="00844C39" w:rsidP="00844C39">
      <w:pPr>
        <w:rPr>
          <w:rFonts w:asciiTheme="minorHAnsi" w:hAnsiTheme="minorHAnsi" w:cstheme="minorHAnsi"/>
          <w:sz w:val="20"/>
          <w:szCs w:val="20"/>
        </w:rPr>
      </w:pPr>
    </w:p>
    <w:p w14:paraId="5D74ED61" w14:textId="2FAB0F6F" w:rsidR="00844C39" w:rsidRPr="00844C39" w:rsidRDefault="00844C39" w:rsidP="00844C39">
      <w:pPr>
        <w:ind w:firstLine="360"/>
        <w:jc w:val="both"/>
        <w:rPr>
          <w:rFonts w:asciiTheme="minorHAnsi" w:hAnsiTheme="minorHAnsi" w:cstheme="minorHAnsi"/>
          <w:sz w:val="20"/>
          <w:szCs w:val="20"/>
        </w:rPr>
      </w:pPr>
      <w:r w:rsidRPr="00844C39">
        <w:rPr>
          <w:rFonts w:asciiTheme="minorHAnsi" w:hAnsiTheme="minorHAnsi" w:cstheme="minorHAnsi"/>
          <w:sz w:val="20"/>
          <w:szCs w:val="20"/>
        </w:rPr>
        <w:t>A identificação de inconsistências entre os indicadores apresentados pela CONTRATADA e os indicadores apurados pela CONTRATANTE poderá configurar-se como não cumprimento do nível mínimo de serviço, sendo, neste caso, aplicadas as sanções administrativas previstas neste termo. No caso de aplicação de redutor no faturamento, decorrente do não cumprimento dos níveis mínimos de serviços, a CONTRATADA disporá do prazo de cinco dias úteis, a contar da data do fechamento da avaliação dos indicadores, para apresentar justificativas ao CONTRATANTE, que deverá avalia-las em até cinco dias úteis. A aceitação ou a recusa das justificativas deverá ser formalizada pelo fiscal administrativo. Sendo aceitas as justificativas ou se elas não forem avaliadas tempestivamente, não haverá a aplicação do redutor.</w:t>
      </w:r>
    </w:p>
    <w:bookmarkEnd w:id="1"/>
    <w:p w14:paraId="03953F7E" w14:textId="77777777" w:rsidR="00743B8B" w:rsidRPr="00844C39" w:rsidRDefault="00743B8B" w:rsidP="00743B8B">
      <w:pPr>
        <w:pStyle w:val="PargrafodaLista"/>
        <w:tabs>
          <w:tab w:val="left" w:pos="426"/>
        </w:tabs>
        <w:ind w:left="360"/>
        <w:jc w:val="both"/>
        <w:rPr>
          <w:rFonts w:asciiTheme="minorHAnsi" w:eastAsia="Arial Unicode MS" w:hAnsiTheme="minorHAnsi" w:cstheme="minorHAnsi"/>
          <w:b/>
          <w:sz w:val="20"/>
          <w:szCs w:val="20"/>
        </w:rPr>
      </w:pPr>
    </w:p>
    <w:sectPr w:rsidR="00743B8B" w:rsidRPr="00844C39" w:rsidSect="00844C39">
      <w:headerReference w:type="default" r:id="rId9"/>
      <w:pgSz w:w="11906" w:h="16838"/>
      <w:pgMar w:top="1417" w:right="70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C9B3A" w14:textId="77777777" w:rsidR="00BD4568" w:rsidRDefault="00BD4568" w:rsidP="00A116FB">
      <w:r>
        <w:separator/>
      </w:r>
    </w:p>
  </w:endnote>
  <w:endnote w:type="continuationSeparator" w:id="0">
    <w:p w14:paraId="28D582D5" w14:textId="77777777" w:rsidR="00BD4568" w:rsidRDefault="00BD4568" w:rsidP="00A1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8C96F" w14:textId="77777777" w:rsidR="00BD4568" w:rsidRDefault="00BD4568" w:rsidP="00A116FB">
      <w:r>
        <w:separator/>
      </w:r>
    </w:p>
  </w:footnote>
  <w:footnote w:type="continuationSeparator" w:id="0">
    <w:p w14:paraId="56724ADB" w14:textId="77777777" w:rsidR="00BD4568" w:rsidRDefault="00BD4568" w:rsidP="00A116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31422" w14:textId="77777777" w:rsidR="002E3C88" w:rsidRPr="00347E5F" w:rsidRDefault="002E3C88" w:rsidP="00A116FB">
    <w:pPr>
      <w:pStyle w:val="Cabealho"/>
      <w:jc w:val="right"/>
      <w:rPr>
        <w:rFonts w:ascii="Verdana" w:hAnsi="Verdana"/>
        <w:sz w:val="16"/>
        <w:szCs w:val="16"/>
      </w:rPr>
    </w:pPr>
    <w:bookmarkStart w:id="3" w:name="_Hlk509777182"/>
    <w:r w:rsidRPr="009A6D9B">
      <w:rPr>
        <w:rFonts w:ascii="Verdana" w:hAnsi="Verdana"/>
        <w:noProof/>
        <w:sz w:val="16"/>
        <w:szCs w:val="16"/>
      </w:rPr>
      <w:drawing>
        <wp:inline distT="0" distB="0" distL="0" distR="0" wp14:anchorId="34C95C3C" wp14:editId="2BE42990">
          <wp:extent cx="289560" cy="16002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 cy="160020"/>
                  </a:xfrm>
                  <a:prstGeom prst="rect">
                    <a:avLst/>
                  </a:prstGeom>
                  <a:noFill/>
                  <a:ln>
                    <a:noFill/>
                  </a:ln>
                </pic:spPr>
              </pic:pic>
            </a:graphicData>
          </a:graphic>
        </wp:inline>
      </w:drawing>
    </w:r>
    <w:proofErr w:type="gramStart"/>
    <w:r w:rsidRPr="00347E5F">
      <w:rPr>
        <w:rFonts w:ascii="Verdana" w:hAnsi="Verdana"/>
        <w:sz w:val="16"/>
        <w:szCs w:val="16"/>
      </w:rPr>
      <w:t>Fls._</w:t>
    </w:r>
    <w:proofErr w:type="gramEnd"/>
    <w:r w:rsidRPr="00347E5F">
      <w:rPr>
        <w:rFonts w:ascii="Verdana" w:hAnsi="Verdana"/>
        <w:sz w:val="16"/>
        <w:szCs w:val="16"/>
      </w:rPr>
      <w:t>_________</w:t>
    </w:r>
  </w:p>
  <w:p w14:paraId="0F7861E1" w14:textId="4CA71302" w:rsidR="002E3C88" w:rsidRPr="00347E5F" w:rsidRDefault="002E3C88" w:rsidP="00A116FB">
    <w:pPr>
      <w:pStyle w:val="Cabealho"/>
      <w:jc w:val="right"/>
      <w:rPr>
        <w:rFonts w:ascii="Verdana" w:hAnsi="Verdana"/>
        <w:sz w:val="16"/>
        <w:szCs w:val="16"/>
      </w:rPr>
    </w:pPr>
    <w:r w:rsidRPr="00347E5F">
      <w:rPr>
        <w:rFonts w:ascii="Verdana" w:hAnsi="Verdana"/>
        <w:sz w:val="16"/>
        <w:szCs w:val="16"/>
      </w:rPr>
      <w:t xml:space="preserve">Processo </w:t>
    </w:r>
    <w:proofErr w:type="gramStart"/>
    <w:r w:rsidRPr="00347E5F">
      <w:rPr>
        <w:rFonts w:ascii="Verdana" w:hAnsi="Verdana"/>
        <w:sz w:val="16"/>
        <w:szCs w:val="16"/>
      </w:rPr>
      <w:t>n.º</w:t>
    </w:r>
    <w:proofErr w:type="gramEnd"/>
    <w:r w:rsidRPr="00347E5F">
      <w:rPr>
        <w:rFonts w:ascii="Verdana" w:hAnsi="Verdana"/>
        <w:sz w:val="16"/>
        <w:szCs w:val="16"/>
      </w:rPr>
      <w:t xml:space="preserve"> </w:t>
    </w:r>
    <w:r>
      <w:rPr>
        <w:rFonts w:ascii="Verdana" w:hAnsi="Verdana"/>
        <w:sz w:val="16"/>
        <w:szCs w:val="16"/>
      </w:rPr>
      <w:t>23069.</w:t>
    </w:r>
    <w:r w:rsidR="00146086">
      <w:rPr>
        <w:rFonts w:ascii="Verdana" w:hAnsi="Verdana"/>
        <w:sz w:val="16"/>
        <w:szCs w:val="16"/>
      </w:rPr>
      <w:t>00</w:t>
    </w:r>
    <w:r w:rsidR="00372024">
      <w:rPr>
        <w:rFonts w:ascii="Verdana" w:hAnsi="Verdana"/>
        <w:sz w:val="16"/>
        <w:szCs w:val="16"/>
      </w:rPr>
      <w:t>3342</w:t>
    </w:r>
    <w:r w:rsidR="00146086">
      <w:rPr>
        <w:rFonts w:ascii="Verdana" w:hAnsi="Verdana"/>
        <w:sz w:val="16"/>
        <w:szCs w:val="16"/>
      </w:rPr>
      <w:t>/201</w:t>
    </w:r>
    <w:r w:rsidR="000B6630">
      <w:rPr>
        <w:rFonts w:ascii="Verdana" w:hAnsi="Verdana"/>
        <w:sz w:val="16"/>
        <w:szCs w:val="16"/>
      </w:rPr>
      <w:t>9</w:t>
    </w:r>
    <w:r w:rsidR="00146086">
      <w:rPr>
        <w:rFonts w:ascii="Verdana" w:hAnsi="Verdana"/>
        <w:sz w:val="16"/>
        <w:szCs w:val="16"/>
      </w:rPr>
      <w:t>-1</w:t>
    </w:r>
    <w:r w:rsidR="00372024">
      <w:rPr>
        <w:rFonts w:ascii="Verdana" w:hAnsi="Verdana"/>
        <w:sz w:val="16"/>
        <w:szCs w:val="16"/>
      </w:rPr>
      <w:t>9</w:t>
    </w:r>
    <w:r>
      <w:rPr>
        <w:rFonts w:ascii="Verdana" w:hAnsi="Verdana"/>
        <w:sz w:val="16"/>
        <w:szCs w:val="16"/>
      </w:rPr>
      <w:t xml:space="preserve"> </w:t>
    </w:r>
  </w:p>
  <w:bookmarkEnd w:id="3"/>
  <w:p w14:paraId="184F9C3A" w14:textId="77777777" w:rsidR="002E3C88" w:rsidRDefault="002E3C8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20D"/>
    <w:multiLevelType w:val="multilevel"/>
    <w:tmpl w:val="438EF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72191F"/>
    <w:multiLevelType w:val="multilevel"/>
    <w:tmpl w:val="421805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463600"/>
    <w:multiLevelType w:val="hybridMultilevel"/>
    <w:tmpl w:val="CA9651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07027"/>
    <w:multiLevelType w:val="hybridMultilevel"/>
    <w:tmpl w:val="9E64CE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55C"/>
    <w:multiLevelType w:val="hybridMultilevel"/>
    <w:tmpl w:val="4816DEF8"/>
    <w:lvl w:ilvl="0" w:tplc="D68EAC6C">
      <w:start w:val="1"/>
      <w:numFmt w:val="lowerLetter"/>
      <w:lvlText w:val="%1)"/>
      <w:lvlJc w:val="left"/>
      <w:pPr>
        <w:ind w:left="435" w:hanging="43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2DCD3D72"/>
    <w:multiLevelType w:val="hybridMultilevel"/>
    <w:tmpl w:val="A3486B6A"/>
    <w:lvl w:ilvl="0" w:tplc="C3F8AE5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4776D1E"/>
    <w:multiLevelType w:val="hybridMultilevel"/>
    <w:tmpl w:val="ECFC02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C4724BD"/>
    <w:multiLevelType w:val="multilevel"/>
    <w:tmpl w:val="438EF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E82894"/>
    <w:multiLevelType w:val="multilevel"/>
    <w:tmpl w:val="421805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592784"/>
    <w:multiLevelType w:val="multilevel"/>
    <w:tmpl w:val="D64466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BA6E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E925BBC"/>
    <w:multiLevelType w:val="multilevel"/>
    <w:tmpl w:val="C31C7C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5"/>
  </w:num>
  <w:num w:numId="3">
    <w:abstractNumId w:val="11"/>
  </w:num>
  <w:num w:numId="4">
    <w:abstractNumId w:val="7"/>
  </w:num>
  <w:num w:numId="5">
    <w:abstractNumId w:val="0"/>
  </w:num>
  <w:num w:numId="6">
    <w:abstractNumId w:val="9"/>
  </w:num>
  <w:num w:numId="7">
    <w:abstractNumId w:val="10"/>
  </w:num>
  <w:num w:numId="8">
    <w:abstractNumId w:val="8"/>
  </w:num>
  <w:num w:numId="9">
    <w:abstractNumId w:val="1"/>
  </w:num>
  <w:num w:numId="10">
    <w:abstractNumId w:val="2"/>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C4"/>
    <w:rsid w:val="000B6630"/>
    <w:rsid w:val="00146086"/>
    <w:rsid w:val="00146AC4"/>
    <w:rsid w:val="00153CB1"/>
    <w:rsid w:val="00192574"/>
    <w:rsid w:val="002E3C88"/>
    <w:rsid w:val="00372024"/>
    <w:rsid w:val="00374CF3"/>
    <w:rsid w:val="003A78C4"/>
    <w:rsid w:val="003B435E"/>
    <w:rsid w:val="003D6C0A"/>
    <w:rsid w:val="00441A6E"/>
    <w:rsid w:val="00505200"/>
    <w:rsid w:val="006726D7"/>
    <w:rsid w:val="006B5CA6"/>
    <w:rsid w:val="006C0B13"/>
    <w:rsid w:val="00743B8B"/>
    <w:rsid w:val="00771521"/>
    <w:rsid w:val="00777603"/>
    <w:rsid w:val="00792BA7"/>
    <w:rsid w:val="007A78FB"/>
    <w:rsid w:val="00806BDC"/>
    <w:rsid w:val="00844C39"/>
    <w:rsid w:val="00851ADF"/>
    <w:rsid w:val="0092581F"/>
    <w:rsid w:val="009A7DC0"/>
    <w:rsid w:val="009C183D"/>
    <w:rsid w:val="009D1663"/>
    <w:rsid w:val="009F46EC"/>
    <w:rsid w:val="00A03318"/>
    <w:rsid w:val="00A116FB"/>
    <w:rsid w:val="00A12BE6"/>
    <w:rsid w:val="00A34BAF"/>
    <w:rsid w:val="00A6222D"/>
    <w:rsid w:val="00B114CF"/>
    <w:rsid w:val="00B7769F"/>
    <w:rsid w:val="00B822E5"/>
    <w:rsid w:val="00BD4568"/>
    <w:rsid w:val="00C27039"/>
    <w:rsid w:val="00C35BFB"/>
    <w:rsid w:val="00C425E0"/>
    <w:rsid w:val="00C93BFF"/>
    <w:rsid w:val="00CB36C2"/>
    <w:rsid w:val="00CC4598"/>
    <w:rsid w:val="00CD1813"/>
    <w:rsid w:val="00D75223"/>
    <w:rsid w:val="00D80BA2"/>
    <w:rsid w:val="00E61306"/>
    <w:rsid w:val="00EB5040"/>
    <w:rsid w:val="00F15BB9"/>
    <w:rsid w:val="00F66CB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E20CE8"/>
  <w15:docId w15:val="{651DD637-8DAE-43B0-B509-81456EAF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AC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46AC4"/>
    <w:pPr>
      <w:keepNext/>
      <w:tabs>
        <w:tab w:val="left" w:pos="6284"/>
      </w:tabs>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46AC4"/>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rsid w:val="00146AC4"/>
    <w:pPr>
      <w:tabs>
        <w:tab w:val="center" w:pos="4419"/>
        <w:tab w:val="right" w:pos="8838"/>
      </w:tabs>
    </w:pPr>
  </w:style>
  <w:style w:type="character" w:customStyle="1" w:styleId="CabealhoChar">
    <w:name w:val="Cabeçalho Char"/>
    <w:basedOn w:val="Fontepargpadro"/>
    <w:link w:val="Cabealho"/>
    <w:uiPriority w:val="99"/>
    <w:rsid w:val="00146AC4"/>
    <w:rPr>
      <w:rFonts w:ascii="Times New Roman" w:eastAsia="Times New Roman" w:hAnsi="Times New Roman" w:cs="Times New Roman"/>
      <w:sz w:val="24"/>
      <w:szCs w:val="24"/>
      <w:lang w:eastAsia="pt-BR"/>
    </w:rPr>
  </w:style>
  <w:style w:type="paragraph" w:customStyle="1" w:styleId="WW-Padro">
    <w:name w:val="WW-Padrão"/>
    <w:rsid w:val="00146AC4"/>
    <w:pPr>
      <w:suppressAutoHyphens/>
      <w:spacing w:after="0" w:line="240" w:lineRule="auto"/>
    </w:pPr>
    <w:rPr>
      <w:rFonts w:ascii="Times New Roman" w:eastAsia="Times New Roman" w:hAnsi="Times New Roman" w:cs="Times New Roman"/>
      <w:sz w:val="24"/>
      <w:szCs w:val="20"/>
      <w:lang w:eastAsia="ar-SA"/>
    </w:rPr>
  </w:style>
  <w:style w:type="paragraph" w:styleId="PargrafodaLista">
    <w:name w:val="List Paragraph"/>
    <w:basedOn w:val="Normal"/>
    <w:uiPriority w:val="99"/>
    <w:qFormat/>
    <w:rsid w:val="00146AC4"/>
    <w:pPr>
      <w:suppressAutoHyphens/>
      <w:ind w:left="708"/>
    </w:pPr>
    <w:rPr>
      <w:lang w:eastAsia="ar-SA"/>
    </w:rPr>
  </w:style>
  <w:style w:type="paragraph" w:styleId="Rodap">
    <w:name w:val="footer"/>
    <w:basedOn w:val="Normal"/>
    <w:link w:val="RodapChar"/>
    <w:uiPriority w:val="99"/>
    <w:unhideWhenUsed/>
    <w:rsid w:val="00A116FB"/>
    <w:pPr>
      <w:tabs>
        <w:tab w:val="center" w:pos="4252"/>
        <w:tab w:val="right" w:pos="8504"/>
      </w:tabs>
    </w:pPr>
  </w:style>
  <w:style w:type="character" w:customStyle="1" w:styleId="RodapChar">
    <w:name w:val="Rodapé Char"/>
    <w:basedOn w:val="Fontepargpadro"/>
    <w:link w:val="Rodap"/>
    <w:uiPriority w:val="99"/>
    <w:rsid w:val="00A116F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41A6E"/>
    <w:rPr>
      <w:rFonts w:ascii="Tahoma" w:hAnsi="Tahoma" w:cs="Tahoma"/>
      <w:sz w:val="16"/>
      <w:szCs w:val="16"/>
    </w:rPr>
  </w:style>
  <w:style w:type="character" w:customStyle="1" w:styleId="TextodebaloChar">
    <w:name w:val="Texto de balão Char"/>
    <w:basedOn w:val="Fontepargpadro"/>
    <w:link w:val="Textodebalo"/>
    <w:uiPriority w:val="99"/>
    <w:semiHidden/>
    <w:rsid w:val="00441A6E"/>
    <w:rPr>
      <w:rFonts w:ascii="Tahoma" w:eastAsia="Times New Roman" w:hAnsi="Tahoma" w:cs="Tahoma"/>
      <w:sz w:val="16"/>
      <w:szCs w:val="16"/>
      <w:lang w:eastAsia="pt-BR"/>
    </w:rPr>
  </w:style>
  <w:style w:type="table" w:styleId="Tabelacomgrade">
    <w:name w:val="Table Grid"/>
    <w:basedOn w:val="Tabelanormal"/>
    <w:uiPriority w:val="59"/>
    <w:unhideWhenUsed/>
    <w:rsid w:val="00C42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semiHidden/>
    <w:unhideWhenUsed/>
    <w:rsid w:val="00743B8B"/>
    <w:rPr>
      <w:sz w:val="16"/>
      <w:szCs w:val="16"/>
    </w:rPr>
  </w:style>
  <w:style w:type="character" w:customStyle="1" w:styleId="TextodecomentrioChar">
    <w:name w:val="Texto de comentário Char"/>
    <w:basedOn w:val="Fontepargpadro"/>
    <w:link w:val="Textodecomentrio"/>
    <w:rsid w:val="00743B8B"/>
    <w:rPr>
      <w:rFonts w:ascii="Ecofont_Spranq_eco_Sans" w:hAnsi="Ecofont_Spranq_eco_Sans" w:cs="Tahoma"/>
    </w:rPr>
  </w:style>
  <w:style w:type="paragraph" w:styleId="Textodecomentrio">
    <w:name w:val="annotation text"/>
    <w:basedOn w:val="Normal"/>
    <w:link w:val="TextodecomentrioChar"/>
    <w:unhideWhenUsed/>
    <w:rsid w:val="00743B8B"/>
    <w:pPr>
      <w:suppressAutoHyphens/>
    </w:pPr>
    <w:rPr>
      <w:rFonts w:ascii="Ecofont_Spranq_eco_Sans" w:eastAsiaTheme="minorHAnsi" w:hAnsi="Ecofont_Spranq_eco_Sans" w:cs="Tahoma"/>
      <w:sz w:val="22"/>
      <w:szCs w:val="22"/>
      <w:lang w:eastAsia="en-US"/>
    </w:rPr>
  </w:style>
  <w:style w:type="character" w:customStyle="1" w:styleId="TextodecomentrioChar1">
    <w:name w:val="Texto de comentário Char1"/>
    <w:basedOn w:val="Fontepargpadro"/>
    <w:uiPriority w:val="99"/>
    <w:semiHidden/>
    <w:rsid w:val="00743B8B"/>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4427">
      <w:bodyDiv w:val="1"/>
      <w:marLeft w:val="0"/>
      <w:marRight w:val="0"/>
      <w:marTop w:val="0"/>
      <w:marBottom w:val="0"/>
      <w:divBdr>
        <w:top w:val="none" w:sz="0" w:space="0" w:color="auto"/>
        <w:left w:val="none" w:sz="0" w:space="0" w:color="auto"/>
        <w:bottom w:val="none" w:sz="0" w:space="0" w:color="auto"/>
        <w:right w:val="none" w:sz="0" w:space="0" w:color="auto"/>
      </w:divBdr>
    </w:div>
    <w:div w:id="50615282">
      <w:bodyDiv w:val="1"/>
      <w:marLeft w:val="0"/>
      <w:marRight w:val="0"/>
      <w:marTop w:val="0"/>
      <w:marBottom w:val="0"/>
      <w:divBdr>
        <w:top w:val="none" w:sz="0" w:space="0" w:color="auto"/>
        <w:left w:val="none" w:sz="0" w:space="0" w:color="auto"/>
        <w:bottom w:val="none" w:sz="0" w:space="0" w:color="auto"/>
        <w:right w:val="none" w:sz="0" w:space="0" w:color="auto"/>
      </w:divBdr>
    </w:div>
    <w:div w:id="154154426">
      <w:bodyDiv w:val="1"/>
      <w:marLeft w:val="0"/>
      <w:marRight w:val="0"/>
      <w:marTop w:val="0"/>
      <w:marBottom w:val="0"/>
      <w:divBdr>
        <w:top w:val="none" w:sz="0" w:space="0" w:color="auto"/>
        <w:left w:val="none" w:sz="0" w:space="0" w:color="auto"/>
        <w:bottom w:val="none" w:sz="0" w:space="0" w:color="auto"/>
        <w:right w:val="none" w:sz="0" w:space="0" w:color="auto"/>
      </w:divBdr>
    </w:div>
    <w:div w:id="279847099">
      <w:bodyDiv w:val="1"/>
      <w:marLeft w:val="0"/>
      <w:marRight w:val="0"/>
      <w:marTop w:val="0"/>
      <w:marBottom w:val="0"/>
      <w:divBdr>
        <w:top w:val="none" w:sz="0" w:space="0" w:color="auto"/>
        <w:left w:val="none" w:sz="0" w:space="0" w:color="auto"/>
        <w:bottom w:val="none" w:sz="0" w:space="0" w:color="auto"/>
        <w:right w:val="none" w:sz="0" w:space="0" w:color="auto"/>
      </w:divBdr>
    </w:div>
    <w:div w:id="387191884">
      <w:bodyDiv w:val="1"/>
      <w:marLeft w:val="0"/>
      <w:marRight w:val="0"/>
      <w:marTop w:val="0"/>
      <w:marBottom w:val="0"/>
      <w:divBdr>
        <w:top w:val="none" w:sz="0" w:space="0" w:color="auto"/>
        <w:left w:val="none" w:sz="0" w:space="0" w:color="auto"/>
        <w:bottom w:val="none" w:sz="0" w:space="0" w:color="auto"/>
        <w:right w:val="none" w:sz="0" w:space="0" w:color="auto"/>
      </w:divBdr>
    </w:div>
    <w:div w:id="462315546">
      <w:bodyDiv w:val="1"/>
      <w:marLeft w:val="0"/>
      <w:marRight w:val="0"/>
      <w:marTop w:val="0"/>
      <w:marBottom w:val="0"/>
      <w:divBdr>
        <w:top w:val="none" w:sz="0" w:space="0" w:color="auto"/>
        <w:left w:val="none" w:sz="0" w:space="0" w:color="auto"/>
        <w:bottom w:val="none" w:sz="0" w:space="0" w:color="auto"/>
        <w:right w:val="none" w:sz="0" w:space="0" w:color="auto"/>
      </w:divBdr>
    </w:div>
    <w:div w:id="751777147">
      <w:bodyDiv w:val="1"/>
      <w:marLeft w:val="0"/>
      <w:marRight w:val="0"/>
      <w:marTop w:val="0"/>
      <w:marBottom w:val="0"/>
      <w:divBdr>
        <w:top w:val="none" w:sz="0" w:space="0" w:color="auto"/>
        <w:left w:val="none" w:sz="0" w:space="0" w:color="auto"/>
        <w:bottom w:val="none" w:sz="0" w:space="0" w:color="auto"/>
        <w:right w:val="none" w:sz="0" w:space="0" w:color="auto"/>
      </w:divBdr>
    </w:div>
    <w:div w:id="759568198">
      <w:bodyDiv w:val="1"/>
      <w:marLeft w:val="0"/>
      <w:marRight w:val="0"/>
      <w:marTop w:val="0"/>
      <w:marBottom w:val="0"/>
      <w:divBdr>
        <w:top w:val="none" w:sz="0" w:space="0" w:color="auto"/>
        <w:left w:val="none" w:sz="0" w:space="0" w:color="auto"/>
        <w:bottom w:val="none" w:sz="0" w:space="0" w:color="auto"/>
        <w:right w:val="none" w:sz="0" w:space="0" w:color="auto"/>
      </w:divBdr>
    </w:div>
    <w:div w:id="780876304">
      <w:bodyDiv w:val="1"/>
      <w:marLeft w:val="0"/>
      <w:marRight w:val="0"/>
      <w:marTop w:val="0"/>
      <w:marBottom w:val="0"/>
      <w:divBdr>
        <w:top w:val="none" w:sz="0" w:space="0" w:color="auto"/>
        <w:left w:val="none" w:sz="0" w:space="0" w:color="auto"/>
        <w:bottom w:val="none" w:sz="0" w:space="0" w:color="auto"/>
        <w:right w:val="none" w:sz="0" w:space="0" w:color="auto"/>
      </w:divBdr>
    </w:div>
    <w:div w:id="824853938">
      <w:bodyDiv w:val="1"/>
      <w:marLeft w:val="0"/>
      <w:marRight w:val="0"/>
      <w:marTop w:val="0"/>
      <w:marBottom w:val="0"/>
      <w:divBdr>
        <w:top w:val="none" w:sz="0" w:space="0" w:color="auto"/>
        <w:left w:val="none" w:sz="0" w:space="0" w:color="auto"/>
        <w:bottom w:val="none" w:sz="0" w:space="0" w:color="auto"/>
        <w:right w:val="none" w:sz="0" w:space="0" w:color="auto"/>
      </w:divBdr>
    </w:div>
    <w:div w:id="854340656">
      <w:bodyDiv w:val="1"/>
      <w:marLeft w:val="0"/>
      <w:marRight w:val="0"/>
      <w:marTop w:val="0"/>
      <w:marBottom w:val="0"/>
      <w:divBdr>
        <w:top w:val="none" w:sz="0" w:space="0" w:color="auto"/>
        <w:left w:val="none" w:sz="0" w:space="0" w:color="auto"/>
        <w:bottom w:val="none" w:sz="0" w:space="0" w:color="auto"/>
        <w:right w:val="none" w:sz="0" w:space="0" w:color="auto"/>
      </w:divBdr>
    </w:div>
    <w:div w:id="860895081">
      <w:bodyDiv w:val="1"/>
      <w:marLeft w:val="0"/>
      <w:marRight w:val="0"/>
      <w:marTop w:val="0"/>
      <w:marBottom w:val="0"/>
      <w:divBdr>
        <w:top w:val="none" w:sz="0" w:space="0" w:color="auto"/>
        <w:left w:val="none" w:sz="0" w:space="0" w:color="auto"/>
        <w:bottom w:val="none" w:sz="0" w:space="0" w:color="auto"/>
        <w:right w:val="none" w:sz="0" w:space="0" w:color="auto"/>
      </w:divBdr>
    </w:div>
    <w:div w:id="1202089632">
      <w:bodyDiv w:val="1"/>
      <w:marLeft w:val="0"/>
      <w:marRight w:val="0"/>
      <w:marTop w:val="0"/>
      <w:marBottom w:val="0"/>
      <w:divBdr>
        <w:top w:val="none" w:sz="0" w:space="0" w:color="auto"/>
        <w:left w:val="none" w:sz="0" w:space="0" w:color="auto"/>
        <w:bottom w:val="none" w:sz="0" w:space="0" w:color="auto"/>
        <w:right w:val="none" w:sz="0" w:space="0" w:color="auto"/>
      </w:divBdr>
    </w:div>
    <w:div w:id="1267541142">
      <w:bodyDiv w:val="1"/>
      <w:marLeft w:val="0"/>
      <w:marRight w:val="0"/>
      <w:marTop w:val="0"/>
      <w:marBottom w:val="0"/>
      <w:divBdr>
        <w:top w:val="none" w:sz="0" w:space="0" w:color="auto"/>
        <w:left w:val="none" w:sz="0" w:space="0" w:color="auto"/>
        <w:bottom w:val="none" w:sz="0" w:space="0" w:color="auto"/>
        <w:right w:val="none" w:sz="0" w:space="0" w:color="auto"/>
      </w:divBdr>
    </w:div>
    <w:div w:id="1610549243">
      <w:bodyDiv w:val="1"/>
      <w:marLeft w:val="0"/>
      <w:marRight w:val="0"/>
      <w:marTop w:val="0"/>
      <w:marBottom w:val="0"/>
      <w:divBdr>
        <w:top w:val="none" w:sz="0" w:space="0" w:color="auto"/>
        <w:left w:val="none" w:sz="0" w:space="0" w:color="auto"/>
        <w:bottom w:val="none" w:sz="0" w:space="0" w:color="auto"/>
        <w:right w:val="none" w:sz="0" w:space="0" w:color="auto"/>
      </w:divBdr>
    </w:div>
    <w:div w:id="1658066868">
      <w:bodyDiv w:val="1"/>
      <w:marLeft w:val="0"/>
      <w:marRight w:val="0"/>
      <w:marTop w:val="0"/>
      <w:marBottom w:val="0"/>
      <w:divBdr>
        <w:top w:val="none" w:sz="0" w:space="0" w:color="auto"/>
        <w:left w:val="none" w:sz="0" w:space="0" w:color="auto"/>
        <w:bottom w:val="none" w:sz="0" w:space="0" w:color="auto"/>
        <w:right w:val="none" w:sz="0" w:space="0" w:color="auto"/>
      </w:divBdr>
    </w:div>
    <w:div w:id="1659531256">
      <w:bodyDiv w:val="1"/>
      <w:marLeft w:val="0"/>
      <w:marRight w:val="0"/>
      <w:marTop w:val="0"/>
      <w:marBottom w:val="0"/>
      <w:divBdr>
        <w:top w:val="none" w:sz="0" w:space="0" w:color="auto"/>
        <w:left w:val="none" w:sz="0" w:space="0" w:color="auto"/>
        <w:bottom w:val="none" w:sz="0" w:space="0" w:color="auto"/>
        <w:right w:val="none" w:sz="0" w:space="0" w:color="auto"/>
      </w:divBdr>
    </w:div>
    <w:div w:id="1747797958">
      <w:bodyDiv w:val="1"/>
      <w:marLeft w:val="0"/>
      <w:marRight w:val="0"/>
      <w:marTop w:val="0"/>
      <w:marBottom w:val="0"/>
      <w:divBdr>
        <w:top w:val="none" w:sz="0" w:space="0" w:color="auto"/>
        <w:left w:val="none" w:sz="0" w:space="0" w:color="auto"/>
        <w:bottom w:val="none" w:sz="0" w:space="0" w:color="auto"/>
        <w:right w:val="none" w:sz="0" w:space="0" w:color="auto"/>
      </w:divBdr>
    </w:div>
    <w:div w:id="193431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920</Words>
  <Characters>4969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UFF</cp:lastModifiedBy>
  <cp:revision>5</cp:revision>
  <cp:lastPrinted>2019-08-15T20:34:00Z</cp:lastPrinted>
  <dcterms:created xsi:type="dcterms:W3CDTF">2019-08-13T05:21:00Z</dcterms:created>
  <dcterms:modified xsi:type="dcterms:W3CDTF">2019-08-19T15:44:00Z</dcterms:modified>
</cp:coreProperties>
</file>