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A5" w:rsidRPr="00603AB9" w:rsidRDefault="00654DA5" w:rsidP="00591829">
      <w:pPr>
        <w:pStyle w:val="Nivel01"/>
        <w:numPr>
          <w:ilvl w:val="0"/>
          <w:numId w:val="0"/>
        </w:numPr>
      </w:pPr>
    </w:p>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603AB9" w:rsidRPr="00603AB9" w:rsidTr="00160AF8">
        <w:trPr>
          <w:trHeight w:val="2963"/>
        </w:trPr>
        <w:tc>
          <w:tcPr>
            <w:tcW w:w="9889" w:type="dxa"/>
            <w:gridSpan w:val="2"/>
            <w:vAlign w:val="center"/>
          </w:tcPr>
          <w:p w:rsidR="00654DA5" w:rsidRPr="00603AB9" w:rsidRDefault="00654DA5" w:rsidP="00160AF8">
            <w:pPr>
              <w:pStyle w:val="Cabealho"/>
              <w:tabs>
                <w:tab w:val="clear" w:pos="4419"/>
                <w:tab w:val="clear" w:pos="8838"/>
              </w:tabs>
              <w:spacing w:before="120" w:after="120"/>
              <w:ind w:left="624" w:hanging="567"/>
              <w:jc w:val="center"/>
              <w:rPr>
                <w:rFonts w:ascii="Verdana" w:hAnsi="Verdana"/>
                <w:b/>
                <w:bCs/>
                <w:sz w:val="32"/>
                <w:szCs w:val="32"/>
              </w:rPr>
            </w:pPr>
            <w:r w:rsidRPr="00603AB9">
              <w:rPr>
                <w:rFonts w:ascii="Verdana" w:hAnsi="Verdana"/>
                <w:b/>
                <w:bCs/>
                <w:sz w:val="32"/>
                <w:szCs w:val="32"/>
              </w:rPr>
              <w:t xml:space="preserve">EDITAL DE LICITAÇÃO </w:t>
            </w:r>
          </w:p>
          <w:p w:rsidR="00654DA5" w:rsidRPr="00603AB9" w:rsidRDefault="00654DA5" w:rsidP="00654DA5">
            <w:pPr>
              <w:pStyle w:val="Cabealho"/>
              <w:tabs>
                <w:tab w:val="clear" w:pos="4419"/>
                <w:tab w:val="clear" w:pos="8838"/>
              </w:tabs>
              <w:spacing w:before="120" w:after="120"/>
              <w:ind w:left="624" w:hanging="567"/>
              <w:jc w:val="center"/>
              <w:rPr>
                <w:rFonts w:ascii="Verdana" w:hAnsi="Verdana"/>
                <w:b/>
                <w:bCs/>
                <w:sz w:val="18"/>
                <w:szCs w:val="18"/>
              </w:rPr>
            </w:pPr>
            <w:r w:rsidRPr="00603AB9">
              <w:rPr>
                <w:rFonts w:ascii="Verdana" w:hAnsi="Verdana" w:cs="Arial"/>
                <w:noProof/>
                <w:sz w:val="18"/>
                <w:szCs w:val="18"/>
              </w:rPr>
              <w:drawing>
                <wp:anchor distT="0" distB="0" distL="114300" distR="114300" simplePos="0" relativeHeight="251665408" behindDoc="1" locked="0" layoutInCell="1" allowOverlap="1" wp14:anchorId="506E35EA" wp14:editId="2F1724F4">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3360" behindDoc="1" locked="0" layoutInCell="1" allowOverlap="1" wp14:anchorId="25F18167" wp14:editId="3CFE2150">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p>
          <w:p w:rsidR="00654DA5" w:rsidRPr="00603AB9" w:rsidRDefault="00654DA5" w:rsidP="00654DA5">
            <w:pPr>
              <w:pStyle w:val="Ttulo1"/>
              <w:spacing w:before="120" w:after="120"/>
              <w:ind w:left="624" w:hanging="567"/>
              <w:rPr>
                <w:rFonts w:ascii="Verdana" w:hAnsi="Verdana" w:cs="Arial"/>
              </w:rPr>
            </w:pPr>
            <w:r w:rsidRPr="00603AB9">
              <w:rPr>
                <w:rFonts w:ascii="Verdana" w:hAnsi="Verdana" w:cs="Arial"/>
              </w:rPr>
              <w:t xml:space="preserve">PREGÃO ELETRÔNICO Nº </w:t>
            </w:r>
            <w:r w:rsidR="0053190D">
              <w:rPr>
                <w:rFonts w:ascii="Verdana" w:hAnsi="Verdana" w:cs="Arial"/>
              </w:rPr>
              <w:t>43/2019/AD</w:t>
            </w:r>
          </w:p>
          <w:p w:rsidR="00654DA5" w:rsidRPr="00603AB9" w:rsidRDefault="00654DA5" w:rsidP="00654DA5">
            <w:pPr>
              <w:rPr>
                <w:rFonts w:ascii="Verdana" w:hAnsi="Verdana"/>
                <w:sz w:val="18"/>
                <w:szCs w:val="18"/>
                <w:lang w:eastAsia="pt-BR"/>
              </w:rPr>
            </w:pPr>
          </w:p>
          <w:p w:rsidR="00654DA5" w:rsidRDefault="00654DA5" w:rsidP="00AF6B78">
            <w:pPr>
              <w:spacing w:before="120" w:after="120"/>
              <w:ind w:left="624" w:hanging="567"/>
              <w:jc w:val="center"/>
              <w:rPr>
                <w:rFonts w:ascii="Verdana" w:hAnsi="Verdana" w:cs="Arial"/>
                <w:b/>
                <w:sz w:val="18"/>
                <w:szCs w:val="18"/>
              </w:rPr>
            </w:pPr>
            <w:r w:rsidRPr="00603AB9">
              <w:rPr>
                <w:rFonts w:ascii="Verdana" w:hAnsi="Verdana" w:cs="Arial"/>
                <w:b/>
                <w:sz w:val="18"/>
                <w:szCs w:val="18"/>
              </w:rPr>
              <w:t xml:space="preserve">PROCESSO Nº </w:t>
            </w:r>
            <w:r w:rsidR="0053190D">
              <w:rPr>
                <w:rFonts w:ascii="Verdana" w:hAnsi="Verdana" w:cs="Arial"/>
                <w:b/>
                <w:sz w:val="18"/>
                <w:szCs w:val="18"/>
              </w:rPr>
              <w:t>23069.002593/2019-78</w:t>
            </w:r>
          </w:p>
          <w:p w:rsidR="007F0D45" w:rsidRPr="007F0D45" w:rsidRDefault="007F0D45" w:rsidP="00AF6B78">
            <w:pPr>
              <w:spacing w:before="120" w:after="120"/>
              <w:ind w:left="624" w:hanging="567"/>
              <w:jc w:val="center"/>
              <w:rPr>
                <w:rFonts w:ascii="Verdana" w:hAnsi="Verdana" w:cs="Arial"/>
                <w:b/>
                <w:color w:val="FF0000"/>
                <w:sz w:val="18"/>
                <w:szCs w:val="18"/>
              </w:rPr>
            </w:pPr>
            <w:bookmarkStart w:id="0" w:name="_GoBack"/>
            <w:r w:rsidRPr="007F0D45">
              <w:rPr>
                <w:rFonts w:ascii="Verdana" w:hAnsi="Verdana" w:cs="Arial"/>
                <w:b/>
                <w:color w:val="FF0000"/>
                <w:sz w:val="18"/>
                <w:szCs w:val="18"/>
              </w:rPr>
              <w:t>Alteração nº 01</w:t>
            </w:r>
          </w:p>
          <w:bookmarkEnd w:id="0"/>
          <w:p w:rsidR="00654DA5" w:rsidRPr="00603AB9" w:rsidRDefault="00654DA5" w:rsidP="00160AF8">
            <w:pPr>
              <w:spacing w:before="120" w:after="120"/>
              <w:jc w:val="both"/>
              <w:rPr>
                <w:rFonts w:ascii="Verdana" w:hAnsi="Verdana" w:cs="Arial"/>
                <w:sz w:val="18"/>
                <w:szCs w:val="18"/>
              </w:rPr>
            </w:pPr>
          </w:p>
        </w:tc>
      </w:tr>
      <w:tr w:rsidR="00603AB9" w:rsidRPr="00603AB9" w:rsidTr="00160AF8">
        <w:trPr>
          <w:trHeight w:val="1176"/>
        </w:trPr>
        <w:tc>
          <w:tcPr>
            <w:tcW w:w="2943" w:type="dxa"/>
            <w:vAlign w:val="center"/>
          </w:tcPr>
          <w:p w:rsidR="00654DA5" w:rsidRPr="00DA0598" w:rsidRDefault="00654DA5" w:rsidP="00160AF8">
            <w:pPr>
              <w:spacing w:before="120" w:after="120"/>
              <w:ind w:left="624" w:hanging="567"/>
              <w:jc w:val="center"/>
              <w:rPr>
                <w:rFonts w:ascii="Arial" w:hAnsi="Arial" w:cs="Arial"/>
                <w:sz w:val="20"/>
                <w:szCs w:val="20"/>
              </w:rPr>
            </w:pPr>
            <w:r w:rsidRPr="00DA0598">
              <w:rPr>
                <w:rFonts w:ascii="Arial" w:hAnsi="Arial" w:cs="Arial"/>
                <w:b/>
                <w:bCs/>
                <w:sz w:val="20"/>
                <w:szCs w:val="20"/>
              </w:rPr>
              <w:t>OBJETO</w:t>
            </w:r>
          </w:p>
        </w:tc>
        <w:tc>
          <w:tcPr>
            <w:tcW w:w="6946" w:type="dxa"/>
            <w:vAlign w:val="bottom"/>
          </w:tcPr>
          <w:p w:rsidR="00654DA5" w:rsidRPr="00DA0598" w:rsidRDefault="00654DA5" w:rsidP="0053190D">
            <w:pPr>
              <w:pStyle w:val="Recuodecorpodetexto2"/>
              <w:spacing w:line="240" w:lineRule="auto"/>
              <w:ind w:left="0"/>
              <w:jc w:val="both"/>
              <w:rPr>
                <w:rFonts w:ascii="Arial" w:eastAsiaTheme="majorEastAsia" w:hAnsi="Arial" w:cs="Arial"/>
                <w:iCs/>
                <w:sz w:val="20"/>
                <w:szCs w:val="20"/>
              </w:rPr>
            </w:pPr>
            <w:r w:rsidRPr="004B0FA4">
              <w:rPr>
                <w:rFonts w:ascii="Arial" w:hAnsi="Arial" w:cs="Arial"/>
                <w:sz w:val="20"/>
                <w:szCs w:val="20"/>
              </w:rPr>
              <w:t>A presente licitação tem por objeto</w:t>
            </w:r>
            <w:r w:rsidR="004B0FA4">
              <w:rPr>
                <w:rFonts w:ascii="Arial" w:hAnsi="Arial" w:cs="Arial"/>
                <w:sz w:val="20"/>
                <w:szCs w:val="20"/>
              </w:rPr>
              <w:t xml:space="preserve"> a </w:t>
            </w:r>
            <w:r w:rsidR="004B0FA4" w:rsidRPr="004B0FA4">
              <w:rPr>
                <w:rFonts w:ascii="Arial" w:hAnsi="Arial" w:cs="Arial"/>
                <w:sz w:val="20"/>
                <w:szCs w:val="20"/>
              </w:rPr>
              <w:t xml:space="preserve">Contratação de empresa especializada na prestação de serviços de </w:t>
            </w:r>
            <w:r w:rsidR="0053190D">
              <w:rPr>
                <w:rFonts w:ascii="Arial" w:hAnsi="Arial" w:cs="Arial"/>
                <w:sz w:val="20"/>
                <w:szCs w:val="20"/>
              </w:rPr>
              <w:t xml:space="preserve">Serviço Telefônico Fixo Comutado – STFC, na modalidade local, de fixo para fixo, e de fixo para móvel VC1, através de linhas analógicas, para atender a </w:t>
            </w:r>
            <w:r w:rsidR="004B0FA4" w:rsidRPr="004B0FA4">
              <w:rPr>
                <w:rFonts w:ascii="Arial" w:hAnsi="Arial" w:cs="Arial"/>
                <w:sz w:val="20"/>
                <w:szCs w:val="20"/>
              </w:rPr>
              <w:t xml:space="preserve">Universidade Federal Fluminense </w:t>
            </w:r>
            <w:r w:rsidR="00101A2F" w:rsidRPr="004B0FA4">
              <w:rPr>
                <w:rFonts w:ascii="Arial" w:hAnsi="Arial" w:cs="Arial"/>
                <w:sz w:val="20"/>
                <w:szCs w:val="20"/>
              </w:rPr>
              <w:t>Estado do Rio de Janeiro</w:t>
            </w:r>
            <w:r w:rsidRPr="004B0FA4">
              <w:rPr>
                <w:rFonts w:ascii="Arial" w:hAnsi="Arial" w:cs="Arial"/>
                <w:sz w:val="20"/>
                <w:szCs w:val="20"/>
              </w:rPr>
              <w:t>, conforme Termo de Referência e Anexos a este edital.</w:t>
            </w:r>
          </w:p>
        </w:tc>
      </w:tr>
      <w:tr w:rsidR="00603AB9" w:rsidRPr="00603AB9" w:rsidTr="00160AF8">
        <w:trPr>
          <w:trHeight w:val="903"/>
        </w:trPr>
        <w:tc>
          <w:tcPr>
            <w:tcW w:w="2943" w:type="dxa"/>
            <w:vAlign w:val="center"/>
          </w:tcPr>
          <w:p w:rsidR="00654DA5" w:rsidRPr="00DA0598" w:rsidRDefault="00654DA5" w:rsidP="00160AF8">
            <w:pPr>
              <w:spacing w:before="120" w:after="120"/>
              <w:ind w:left="624" w:hanging="567"/>
              <w:jc w:val="center"/>
              <w:rPr>
                <w:rFonts w:ascii="Arial" w:hAnsi="Arial" w:cs="Arial"/>
                <w:b/>
                <w:sz w:val="20"/>
                <w:szCs w:val="20"/>
              </w:rPr>
            </w:pPr>
            <w:r w:rsidRPr="00DA0598">
              <w:rPr>
                <w:rFonts w:ascii="Arial" w:hAnsi="Arial" w:cs="Arial"/>
                <w:b/>
                <w:sz w:val="20"/>
                <w:szCs w:val="20"/>
              </w:rPr>
              <w:t>RECEBIMENTO DAS PROPOSTAS</w:t>
            </w:r>
          </w:p>
        </w:tc>
        <w:tc>
          <w:tcPr>
            <w:tcW w:w="6946" w:type="dxa"/>
            <w:vAlign w:val="center"/>
          </w:tcPr>
          <w:p w:rsidR="00654DA5" w:rsidRPr="00DA0598" w:rsidRDefault="00654DA5" w:rsidP="00160AF8">
            <w:pPr>
              <w:pStyle w:val="Ttulo9"/>
              <w:spacing w:before="120" w:after="120"/>
              <w:ind w:hanging="19"/>
              <w:jc w:val="both"/>
              <w:rPr>
                <w:rFonts w:ascii="Arial" w:hAnsi="Arial" w:cs="Arial"/>
                <w:i w:val="0"/>
                <w:color w:val="auto"/>
              </w:rPr>
            </w:pPr>
            <w:r w:rsidRPr="00DA0598">
              <w:rPr>
                <w:rFonts w:ascii="Arial" w:hAnsi="Arial" w:cs="Arial"/>
                <w:i w:val="0"/>
                <w:color w:val="auto"/>
              </w:rPr>
              <w:t xml:space="preserve">A partir da data de divulgação do Edital no site </w:t>
            </w:r>
            <w:hyperlink r:id="rId10" w:history="1">
              <w:r w:rsidR="00E26FAE" w:rsidRPr="008E3147">
                <w:rPr>
                  <w:rStyle w:val="Hyperlink"/>
                  <w:rFonts w:ascii="Arial" w:hAnsi="Arial" w:cs="Arial"/>
                  <w:i w:val="0"/>
                </w:rPr>
                <w:t>www.comprasgovernamentais.gov.br</w:t>
              </w:r>
            </w:hyperlink>
            <w:r w:rsidRPr="00DA0598">
              <w:rPr>
                <w:rFonts w:ascii="Arial" w:hAnsi="Arial" w:cs="Arial"/>
                <w:i w:val="0"/>
                <w:color w:val="auto"/>
              </w:rPr>
              <w:t xml:space="preserve"> até a data e horário de realização da sessão pública.</w:t>
            </w:r>
          </w:p>
        </w:tc>
      </w:tr>
      <w:tr w:rsidR="00603AB9" w:rsidRPr="00603AB9" w:rsidTr="00160AF8">
        <w:trPr>
          <w:trHeight w:val="1104"/>
        </w:trPr>
        <w:tc>
          <w:tcPr>
            <w:tcW w:w="2943" w:type="dxa"/>
            <w:vAlign w:val="center"/>
          </w:tcPr>
          <w:p w:rsidR="00654DA5" w:rsidRPr="00DA0598" w:rsidRDefault="00654DA5" w:rsidP="00160AF8">
            <w:pPr>
              <w:spacing w:before="120" w:after="120"/>
              <w:ind w:left="624" w:hanging="567"/>
              <w:jc w:val="center"/>
              <w:rPr>
                <w:rFonts w:ascii="Arial" w:hAnsi="Arial" w:cs="Arial"/>
                <w:b/>
                <w:sz w:val="20"/>
                <w:szCs w:val="20"/>
              </w:rPr>
            </w:pPr>
            <w:r w:rsidRPr="00DA0598">
              <w:rPr>
                <w:rFonts w:ascii="Arial" w:hAnsi="Arial" w:cs="Arial"/>
                <w:b/>
                <w:sz w:val="20"/>
                <w:szCs w:val="20"/>
              </w:rPr>
              <w:t>DATA ABERTURA DAS PROPOSTAS</w:t>
            </w:r>
          </w:p>
        </w:tc>
        <w:tc>
          <w:tcPr>
            <w:tcW w:w="6946" w:type="dxa"/>
            <w:vAlign w:val="center"/>
          </w:tcPr>
          <w:p w:rsidR="00654DA5" w:rsidRPr="00DA0598" w:rsidRDefault="00654DA5" w:rsidP="00DD559A">
            <w:pPr>
              <w:spacing w:before="120" w:after="120"/>
              <w:ind w:hanging="25"/>
              <w:jc w:val="both"/>
              <w:rPr>
                <w:rFonts w:ascii="Arial" w:hAnsi="Arial" w:cs="Arial"/>
                <w:sz w:val="20"/>
                <w:szCs w:val="20"/>
              </w:rPr>
            </w:pPr>
            <w:r w:rsidRPr="00DA0598">
              <w:rPr>
                <w:rFonts w:ascii="Arial" w:hAnsi="Arial" w:cs="Arial"/>
                <w:sz w:val="20"/>
                <w:szCs w:val="20"/>
              </w:rPr>
              <w:t xml:space="preserve">Sessão Pública a ser realizada no endereço eletrônico informado no edital, às 10h00m do dia </w:t>
            </w:r>
            <w:r w:rsidR="00DD559A">
              <w:rPr>
                <w:rFonts w:ascii="Arial" w:hAnsi="Arial" w:cs="Arial"/>
                <w:sz w:val="20"/>
                <w:szCs w:val="20"/>
              </w:rPr>
              <w:t>02/09/</w:t>
            </w:r>
            <w:r w:rsidR="00343A7D">
              <w:rPr>
                <w:rFonts w:ascii="Arial" w:hAnsi="Arial" w:cs="Arial"/>
                <w:sz w:val="20"/>
                <w:szCs w:val="20"/>
              </w:rPr>
              <w:t>2019.</w:t>
            </w:r>
          </w:p>
        </w:tc>
      </w:tr>
      <w:tr w:rsidR="00603AB9" w:rsidRPr="00603AB9" w:rsidTr="00160AF8">
        <w:trPr>
          <w:trHeight w:val="2042"/>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ENDEREÇO</w:t>
            </w:r>
          </w:p>
        </w:tc>
        <w:tc>
          <w:tcPr>
            <w:tcW w:w="6946" w:type="dxa"/>
            <w:vAlign w:val="center"/>
          </w:tcPr>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Universidade Federal Fluminense</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Pró-Reitoria de Administração</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Coordenação de Licitação</w:t>
            </w:r>
          </w:p>
          <w:p w:rsidR="00654DA5" w:rsidRPr="00DA0598" w:rsidRDefault="00654DA5" w:rsidP="00160AF8">
            <w:pPr>
              <w:rPr>
                <w:rFonts w:ascii="Arial" w:hAnsi="Arial" w:cs="Arial"/>
                <w:sz w:val="20"/>
                <w:szCs w:val="20"/>
              </w:rPr>
            </w:pPr>
            <w:r w:rsidRPr="00DA0598">
              <w:rPr>
                <w:rFonts w:ascii="Arial" w:hAnsi="Arial" w:cs="Arial"/>
                <w:sz w:val="20"/>
                <w:szCs w:val="20"/>
              </w:rPr>
              <w:t>UASG: 150182</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Rua Miguel de Frias n.º 09, Bairro Icaraí, Niterói - RJ</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CEP: 24.220-900</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Telefones: (21) 2629-5061/5062</w:t>
            </w:r>
          </w:p>
          <w:p w:rsidR="00654DA5" w:rsidRPr="00DA0598" w:rsidRDefault="00654DA5" w:rsidP="00160AF8">
            <w:pPr>
              <w:spacing w:before="120" w:after="120"/>
              <w:ind w:hanging="25"/>
              <w:jc w:val="both"/>
              <w:rPr>
                <w:rFonts w:ascii="Arial" w:hAnsi="Arial" w:cs="Arial"/>
                <w:sz w:val="20"/>
                <w:szCs w:val="20"/>
              </w:rPr>
            </w:pPr>
            <w:r w:rsidRPr="00DA0598">
              <w:rPr>
                <w:rFonts w:ascii="Arial" w:hAnsi="Arial" w:cs="Arial"/>
                <w:sz w:val="20"/>
                <w:szCs w:val="20"/>
              </w:rPr>
              <w:t xml:space="preserve">E-mail: </w:t>
            </w:r>
            <w:hyperlink r:id="rId11" w:history="1">
              <w:r w:rsidRPr="00DA0598">
                <w:rPr>
                  <w:rStyle w:val="Hyperlink"/>
                  <w:rFonts w:ascii="Arial" w:hAnsi="Arial" w:cs="Arial"/>
                  <w:b/>
                  <w:color w:val="auto"/>
                  <w:sz w:val="20"/>
                  <w:szCs w:val="20"/>
                </w:rPr>
                <w:t>cpl@id.uff.br</w:t>
              </w:r>
            </w:hyperlink>
            <w:r w:rsidRPr="00DA0598">
              <w:rPr>
                <w:rFonts w:ascii="Arial" w:hAnsi="Arial" w:cs="Arial"/>
                <w:sz w:val="20"/>
                <w:szCs w:val="20"/>
              </w:rPr>
              <w:t>.</w:t>
            </w:r>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TIPO DE LICITAÇÃO</w:t>
            </w:r>
          </w:p>
        </w:tc>
        <w:tc>
          <w:tcPr>
            <w:tcW w:w="6946" w:type="dxa"/>
            <w:vAlign w:val="center"/>
          </w:tcPr>
          <w:p w:rsidR="00654DA5" w:rsidRPr="00DA0598" w:rsidRDefault="00654DA5" w:rsidP="00160AF8">
            <w:pPr>
              <w:pStyle w:val="Ttulo9"/>
              <w:spacing w:before="120" w:after="120"/>
              <w:ind w:hanging="25"/>
              <w:jc w:val="both"/>
              <w:rPr>
                <w:rFonts w:ascii="Arial" w:hAnsi="Arial" w:cs="Arial"/>
                <w:i w:val="0"/>
                <w:color w:val="auto"/>
                <w:highlight w:val="yellow"/>
              </w:rPr>
            </w:pPr>
            <w:r w:rsidRPr="00DA0598">
              <w:rPr>
                <w:rFonts w:ascii="Arial" w:hAnsi="Arial" w:cs="Arial"/>
                <w:i w:val="0"/>
                <w:color w:val="auto"/>
              </w:rPr>
              <w:t xml:space="preserve">Menor preço </w:t>
            </w:r>
            <w:r w:rsidR="00586EB1" w:rsidRPr="00DA0598">
              <w:rPr>
                <w:rFonts w:ascii="Arial" w:hAnsi="Arial" w:cs="Arial"/>
                <w:i w:val="0"/>
                <w:color w:val="auto"/>
              </w:rPr>
              <w:t>unitário</w:t>
            </w:r>
            <w:r w:rsidRPr="00DA0598">
              <w:rPr>
                <w:rFonts w:ascii="Arial" w:hAnsi="Arial" w:cs="Arial"/>
                <w:i w:val="0"/>
                <w:color w:val="auto"/>
              </w:rPr>
              <w:t>.</w:t>
            </w:r>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ACESSO ELETRÔNICO AO EDITAL</w:t>
            </w:r>
          </w:p>
        </w:tc>
        <w:tc>
          <w:tcPr>
            <w:tcW w:w="6946" w:type="dxa"/>
            <w:vAlign w:val="center"/>
          </w:tcPr>
          <w:p w:rsidR="00654DA5" w:rsidRPr="00DA0598" w:rsidRDefault="00A9625A" w:rsidP="00160AF8">
            <w:pPr>
              <w:pStyle w:val="Ttulo9"/>
              <w:spacing w:before="120" w:after="120"/>
              <w:ind w:hanging="25"/>
              <w:jc w:val="both"/>
              <w:rPr>
                <w:rFonts w:ascii="Arial" w:hAnsi="Arial" w:cs="Arial"/>
                <w:bCs/>
                <w:color w:val="auto"/>
              </w:rPr>
            </w:pPr>
            <w:hyperlink r:id="rId12" w:history="1">
              <w:r w:rsidR="00E26FAE" w:rsidRPr="007C6CC5">
                <w:rPr>
                  <w:rStyle w:val="Hyperlink"/>
                  <w:rFonts w:ascii="Arial" w:hAnsi="Arial" w:cs="Arial"/>
                  <w:b/>
                </w:rPr>
                <w:t>www.comprasgovernamentais.gov.br</w:t>
              </w:r>
            </w:hyperlink>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PREGOEIRO</w:t>
            </w:r>
          </w:p>
        </w:tc>
        <w:tc>
          <w:tcPr>
            <w:tcW w:w="6946" w:type="dxa"/>
            <w:vAlign w:val="center"/>
          </w:tcPr>
          <w:p w:rsidR="00654DA5" w:rsidRPr="00DA0598" w:rsidRDefault="00343A7D" w:rsidP="00160AF8">
            <w:pPr>
              <w:pStyle w:val="Ttulo9"/>
              <w:spacing w:before="120" w:after="120"/>
              <w:ind w:hanging="25"/>
              <w:jc w:val="both"/>
              <w:rPr>
                <w:rFonts w:ascii="Arial" w:hAnsi="Arial" w:cs="Arial"/>
                <w:bCs/>
                <w:i w:val="0"/>
                <w:color w:val="auto"/>
              </w:rPr>
            </w:pPr>
            <w:r>
              <w:rPr>
                <w:rFonts w:ascii="Arial" w:hAnsi="Arial" w:cs="Arial"/>
                <w:bCs/>
                <w:i w:val="0"/>
                <w:color w:val="auto"/>
              </w:rPr>
              <w:t>JULIANA PALERMO BORSOI RICHA</w:t>
            </w:r>
          </w:p>
        </w:tc>
      </w:tr>
    </w:tbl>
    <w:p w:rsidR="00654DA5" w:rsidRPr="00603AB9" w:rsidRDefault="00654DA5" w:rsidP="00BC5B01">
      <w:pPr>
        <w:pStyle w:val="Cabealho"/>
        <w:rPr>
          <w:rFonts w:ascii="Verdana" w:hAnsi="Verdana" w:cs="Arial"/>
          <w:sz w:val="18"/>
          <w:szCs w:val="18"/>
        </w:rPr>
      </w:pPr>
    </w:p>
    <w:p w:rsidR="00654DA5" w:rsidRPr="00603AB9" w:rsidRDefault="00654DA5">
      <w:pPr>
        <w:rPr>
          <w:rFonts w:ascii="Verdana" w:eastAsia="Times New Roman" w:hAnsi="Verdana" w:cs="Arial"/>
          <w:sz w:val="18"/>
          <w:szCs w:val="18"/>
          <w:lang w:eastAsia="pt-BR"/>
        </w:rPr>
      </w:pPr>
      <w:r w:rsidRPr="00603AB9">
        <w:rPr>
          <w:rFonts w:ascii="Verdana" w:hAnsi="Verdana" w:cs="Arial"/>
          <w:sz w:val="18"/>
          <w:szCs w:val="18"/>
        </w:rPr>
        <w:br w:type="page"/>
      </w:r>
    </w:p>
    <w:p w:rsidR="008329C0" w:rsidRPr="00603AB9" w:rsidRDefault="008329C0" w:rsidP="008329C0">
      <w:pPr>
        <w:pStyle w:val="Cabealho"/>
        <w:tabs>
          <w:tab w:val="clear" w:pos="4419"/>
          <w:tab w:val="clear" w:pos="8838"/>
          <w:tab w:val="left" w:pos="8340"/>
        </w:tabs>
        <w:rPr>
          <w:rFonts w:ascii="Verdana" w:hAnsi="Verdana" w:cs="Arial"/>
          <w:sz w:val="18"/>
          <w:szCs w:val="18"/>
        </w:rPr>
      </w:pPr>
      <w:r w:rsidRPr="00603AB9">
        <w:rPr>
          <w:rFonts w:ascii="Verdana" w:hAnsi="Verdana" w:cs="Arial"/>
          <w:noProof/>
          <w:sz w:val="18"/>
          <w:szCs w:val="18"/>
        </w:rPr>
        <w:lastRenderedPageBreak/>
        <w:drawing>
          <wp:anchor distT="0" distB="0" distL="114300" distR="114300" simplePos="0" relativeHeight="251659264" behindDoc="0" locked="0" layoutInCell="1" allowOverlap="1" wp14:anchorId="585C4DA3" wp14:editId="681B3B7B">
            <wp:simplePos x="0" y="0"/>
            <wp:positionH relativeFrom="column">
              <wp:posOffset>2665095</wp:posOffset>
            </wp:positionH>
            <wp:positionV relativeFrom="paragraph">
              <wp:posOffset>-19685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03AB9">
        <w:rPr>
          <w:rFonts w:ascii="Verdana" w:hAnsi="Verdana" w:cs="Arial"/>
          <w:noProof/>
          <w:sz w:val="18"/>
          <w:szCs w:val="18"/>
        </w:rPr>
        <w:drawing>
          <wp:anchor distT="0" distB="0" distL="114300" distR="114300" simplePos="0" relativeHeight="251660288" behindDoc="1" locked="0" layoutInCell="1" allowOverlap="1" wp14:anchorId="77C5D2A5" wp14:editId="7B2EF288">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1312" behindDoc="1" locked="0" layoutInCell="1" allowOverlap="1" wp14:anchorId="531B4F81" wp14:editId="59C5EAB1">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Pr="00603AB9">
        <w:rPr>
          <w:rFonts w:ascii="Verdana" w:hAnsi="Verdana" w:cs="Arial"/>
          <w:sz w:val="18"/>
          <w:szCs w:val="18"/>
        </w:rPr>
        <w:tab/>
      </w:r>
    </w:p>
    <w:p w:rsidR="008329C0" w:rsidRPr="00603AB9" w:rsidRDefault="008329C0" w:rsidP="008329C0">
      <w:pPr>
        <w:rPr>
          <w:rFonts w:ascii="Verdana" w:hAnsi="Verdana" w:cs="Arial"/>
          <w:sz w:val="18"/>
          <w:szCs w:val="18"/>
        </w:rPr>
      </w:pPr>
    </w:p>
    <w:p w:rsidR="008329C0" w:rsidRPr="00603AB9" w:rsidRDefault="008329C0" w:rsidP="008329C0">
      <w:pPr>
        <w:rPr>
          <w:rFonts w:ascii="Verdana" w:hAnsi="Verdana" w:cs="Arial"/>
          <w:sz w:val="18"/>
          <w:szCs w:val="18"/>
        </w:rPr>
      </w:pPr>
    </w:p>
    <w:p w:rsidR="008329C0" w:rsidRPr="00603AB9" w:rsidRDefault="008329C0" w:rsidP="008329C0">
      <w:pPr>
        <w:spacing w:line="240" w:lineRule="auto"/>
        <w:rPr>
          <w:rFonts w:ascii="Verdana" w:hAnsi="Verdana" w:cs="Arial"/>
          <w:sz w:val="18"/>
          <w:szCs w:val="18"/>
        </w:rPr>
      </w:pPr>
    </w:p>
    <w:p w:rsidR="008329C0" w:rsidRPr="00603AB9" w:rsidRDefault="008329C0" w:rsidP="008329C0">
      <w:pPr>
        <w:tabs>
          <w:tab w:val="left" w:pos="6284"/>
        </w:tabs>
        <w:spacing w:after="0" w:line="240" w:lineRule="auto"/>
        <w:jc w:val="center"/>
        <w:rPr>
          <w:rFonts w:ascii="Verdana" w:hAnsi="Verdana" w:cs="Arial"/>
          <w:b/>
          <w:bCs/>
          <w:sz w:val="18"/>
          <w:szCs w:val="18"/>
        </w:rPr>
      </w:pPr>
      <w:r w:rsidRPr="00603AB9">
        <w:rPr>
          <w:rFonts w:ascii="Verdana" w:hAnsi="Verdana" w:cs="Arial"/>
          <w:b/>
          <w:bCs/>
          <w:sz w:val="18"/>
          <w:szCs w:val="18"/>
        </w:rPr>
        <w:t>MINISTÉRIO DA EDUCAÇÃO</w:t>
      </w:r>
    </w:p>
    <w:p w:rsidR="008329C0" w:rsidRPr="00603AB9" w:rsidRDefault="008329C0" w:rsidP="008329C0">
      <w:pPr>
        <w:pStyle w:val="Ttulo1"/>
        <w:rPr>
          <w:rFonts w:ascii="Verdana" w:hAnsi="Verdana" w:cs="Arial"/>
          <w:b w:val="0"/>
          <w:sz w:val="18"/>
          <w:szCs w:val="18"/>
        </w:rPr>
      </w:pPr>
      <w:r w:rsidRPr="00603AB9">
        <w:rPr>
          <w:rFonts w:ascii="Verdana" w:hAnsi="Verdana" w:cs="Arial"/>
          <w:b w:val="0"/>
          <w:sz w:val="18"/>
          <w:szCs w:val="18"/>
        </w:rPr>
        <w:t>UNIVERSIDADE FEDERAL FLUMINENSE</w:t>
      </w:r>
    </w:p>
    <w:p w:rsidR="008329C0" w:rsidRPr="00603AB9" w:rsidRDefault="008329C0" w:rsidP="008329C0">
      <w:pPr>
        <w:spacing w:after="0" w:line="240" w:lineRule="auto"/>
        <w:jc w:val="center"/>
        <w:rPr>
          <w:rFonts w:ascii="Verdana" w:hAnsi="Verdana" w:cs="Arial"/>
          <w:sz w:val="18"/>
          <w:szCs w:val="18"/>
        </w:rPr>
      </w:pPr>
      <w:r w:rsidRPr="00603AB9">
        <w:rPr>
          <w:rFonts w:ascii="Verdana" w:hAnsi="Verdana" w:cs="Arial"/>
          <w:sz w:val="18"/>
          <w:szCs w:val="18"/>
        </w:rPr>
        <w:t>PRÓ-REITORIA DE ADMINISTRAÇÃO</w:t>
      </w:r>
    </w:p>
    <w:p w:rsidR="008729B1" w:rsidRPr="00DA0598" w:rsidRDefault="008729B1">
      <w:pPr>
        <w:rPr>
          <w:rFonts w:ascii="Arial" w:hAnsi="Arial" w:cs="Arial"/>
          <w:sz w:val="20"/>
          <w:szCs w:val="20"/>
        </w:rPr>
      </w:pPr>
    </w:p>
    <w:p w:rsidR="008329C0" w:rsidRPr="00DA0598" w:rsidRDefault="005B294F" w:rsidP="00160AF8">
      <w:pPr>
        <w:spacing w:after="0"/>
        <w:ind w:firstLine="708"/>
        <w:jc w:val="center"/>
        <w:rPr>
          <w:rFonts w:ascii="Arial" w:hAnsi="Arial" w:cs="Arial"/>
          <w:b/>
          <w:i/>
          <w:sz w:val="20"/>
          <w:szCs w:val="20"/>
        </w:rPr>
      </w:pPr>
      <w:r>
        <w:rPr>
          <w:rFonts w:ascii="Arial" w:hAnsi="Arial" w:cs="Arial"/>
          <w:b/>
          <w:i/>
          <w:sz w:val="20"/>
          <w:szCs w:val="20"/>
        </w:rPr>
        <w:t xml:space="preserve"> </w:t>
      </w:r>
      <w:r w:rsidR="008329C0" w:rsidRPr="00DA0598">
        <w:rPr>
          <w:rFonts w:ascii="Arial" w:hAnsi="Arial" w:cs="Arial"/>
          <w:b/>
          <w:i/>
          <w:sz w:val="20"/>
          <w:szCs w:val="20"/>
        </w:rPr>
        <w:t xml:space="preserve">Edital de Licitação </w:t>
      </w:r>
    </w:p>
    <w:p w:rsidR="008329C0" w:rsidRPr="00DA0598" w:rsidRDefault="00101A2F" w:rsidP="008329C0">
      <w:pPr>
        <w:spacing w:after="0"/>
        <w:jc w:val="center"/>
        <w:rPr>
          <w:rFonts w:ascii="Arial" w:hAnsi="Arial" w:cs="Arial"/>
          <w:b/>
          <w:sz w:val="20"/>
          <w:szCs w:val="20"/>
        </w:rPr>
      </w:pPr>
      <w:r w:rsidRPr="00DA0598">
        <w:rPr>
          <w:rFonts w:ascii="Arial" w:hAnsi="Arial" w:cs="Arial"/>
          <w:b/>
          <w:sz w:val="20"/>
          <w:szCs w:val="20"/>
        </w:rPr>
        <w:t xml:space="preserve">PREGÃO ELETRÔNICO Nº </w:t>
      </w:r>
      <w:r w:rsidR="0053190D">
        <w:rPr>
          <w:rFonts w:ascii="Arial" w:hAnsi="Arial" w:cs="Arial"/>
          <w:b/>
          <w:sz w:val="20"/>
          <w:szCs w:val="20"/>
        </w:rPr>
        <w:t>43/2019/AD</w:t>
      </w:r>
    </w:p>
    <w:p w:rsidR="008329C0" w:rsidRPr="004B6C72" w:rsidRDefault="008329C0" w:rsidP="008329C0">
      <w:pPr>
        <w:spacing w:after="0"/>
        <w:jc w:val="center"/>
        <w:rPr>
          <w:rFonts w:eastAsia="Calibri" w:cs="Calibri"/>
          <w:sz w:val="20"/>
          <w:szCs w:val="20"/>
        </w:rPr>
      </w:pPr>
      <w:r w:rsidRPr="004B6C72">
        <w:rPr>
          <w:rFonts w:eastAsia="Calibri" w:cs="Calibri"/>
          <w:sz w:val="20"/>
          <w:szCs w:val="20"/>
        </w:rPr>
        <w:t xml:space="preserve">(Processo Administrativo n.° </w:t>
      </w:r>
      <w:r w:rsidR="0053190D">
        <w:rPr>
          <w:rFonts w:eastAsia="Calibri" w:cs="Calibri"/>
          <w:sz w:val="20"/>
          <w:szCs w:val="20"/>
        </w:rPr>
        <w:t>23069.002593/2019-78</w:t>
      </w:r>
      <w:r w:rsidRPr="004B6C72">
        <w:rPr>
          <w:rFonts w:eastAsia="Calibri" w:cs="Calibri"/>
          <w:sz w:val="20"/>
          <w:szCs w:val="20"/>
        </w:rPr>
        <w:t>)</w:t>
      </w:r>
    </w:p>
    <w:p w:rsidR="008329C0" w:rsidRPr="00DA0598" w:rsidRDefault="008329C0" w:rsidP="008329C0">
      <w:pPr>
        <w:spacing w:after="120" w:line="276" w:lineRule="auto"/>
        <w:ind w:right="-30" w:firstLine="540"/>
        <w:jc w:val="both"/>
        <w:rPr>
          <w:rFonts w:ascii="Arial" w:hAnsi="Arial" w:cs="Arial"/>
          <w:sz w:val="20"/>
          <w:szCs w:val="20"/>
        </w:rPr>
      </w:pPr>
    </w:p>
    <w:p w:rsidR="00586EB1" w:rsidRPr="004B6C72" w:rsidRDefault="008329C0" w:rsidP="004B6C72">
      <w:pPr>
        <w:spacing w:after="0"/>
        <w:jc w:val="both"/>
        <w:rPr>
          <w:rFonts w:eastAsia="Calibri" w:cs="Calibri"/>
          <w:sz w:val="20"/>
          <w:szCs w:val="20"/>
        </w:rPr>
      </w:pPr>
      <w:r w:rsidRPr="004B6C72">
        <w:rPr>
          <w:rFonts w:eastAsia="Calibri" w:cs="Calibri"/>
          <w:sz w:val="20"/>
          <w:szCs w:val="20"/>
        </w:rPr>
        <w:t xml:space="preserve">Torna-se público, para conhecimento dos interessados, que a Universidade Federal Fluminense por meio da Coordenação de Licitações da Pró-Reitoria de Administração, sediada </w:t>
      </w:r>
      <w:r w:rsidR="0088245B" w:rsidRPr="004B6C72">
        <w:rPr>
          <w:rFonts w:eastAsia="Calibri" w:cs="Calibri"/>
          <w:sz w:val="20"/>
          <w:szCs w:val="20"/>
        </w:rPr>
        <w:t xml:space="preserve">à </w:t>
      </w:r>
      <w:r w:rsidRPr="004B6C72">
        <w:rPr>
          <w:rFonts w:eastAsia="Calibri" w:cs="Calibri"/>
          <w:sz w:val="20"/>
          <w:szCs w:val="20"/>
        </w:rPr>
        <w:t>Rua Miguel de Frias, nº 9, 1º andar, Icaraí, Niterói - RJ, realizará licitação, na modalidade PREGÃO, na forma ELETRÔNICA, do tipo menor preço,</w:t>
      </w:r>
      <w:r w:rsidR="00B23D54" w:rsidRPr="004B6C72">
        <w:rPr>
          <w:rFonts w:eastAsia="Calibri" w:cs="Calibri"/>
          <w:sz w:val="20"/>
          <w:szCs w:val="20"/>
        </w:rPr>
        <w:t xml:space="preserve"> </w:t>
      </w:r>
      <w:r w:rsidR="00586EB1" w:rsidRPr="004B6C72">
        <w:rPr>
          <w:rFonts w:eastAsia="Calibri" w:cs="Calibri"/>
          <w:sz w:val="20"/>
          <w:szCs w:val="20"/>
        </w:rPr>
        <w:t>sob a forma de execução indireta, no regime de empreitada por preço unitário, nos termos da Lei nº 10.520, de 17 de julho de 2002, do Decreto nº 5.450, de 31 de maio de 2005,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 do Decreto n° 8.538, de 06 de outubro de 2015, aplicando-se, subsidiariamente, a Lei nº 8.666, de 21 de junho de 1993 e as exigências estabelecidas neste Edital.</w:t>
      </w:r>
    </w:p>
    <w:p w:rsidR="008329C0" w:rsidRPr="00DA0598" w:rsidRDefault="008329C0" w:rsidP="005D025B">
      <w:pPr>
        <w:spacing w:before="120" w:after="120" w:line="276" w:lineRule="auto"/>
        <w:ind w:right="-30" w:firstLine="540"/>
        <w:jc w:val="both"/>
        <w:rPr>
          <w:rFonts w:ascii="Arial" w:hAnsi="Arial" w:cs="Arial"/>
          <w:sz w:val="20"/>
          <w:szCs w:val="20"/>
        </w:rPr>
      </w:pPr>
      <w:r w:rsidRPr="00DA0598">
        <w:rPr>
          <w:rFonts w:ascii="Arial" w:hAnsi="Arial" w:cs="Arial"/>
          <w:sz w:val="20"/>
          <w:szCs w:val="20"/>
        </w:rPr>
        <w:t xml:space="preserve">. </w:t>
      </w:r>
    </w:p>
    <w:p w:rsidR="008329C0" w:rsidRPr="00DA0598" w:rsidRDefault="008329C0" w:rsidP="005D025B">
      <w:pPr>
        <w:spacing w:before="120" w:after="120" w:line="276" w:lineRule="auto"/>
        <w:rPr>
          <w:rFonts w:ascii="Arial" w:hAnsi="Arial" w:cs="Arial"/>
          <w:sz w:val="20"/>
          <w:szCs w:val="20"/>
        </w:rPr>
      </w:pPr>
    </w:p>
    <w:p w:rsidR="008329C0" w:rsidRPr="00DA0598" w:rsidRDefault="008329C0" w:rsidP="005D025B">
      <w:pPr>
        <w:spacing w:before="120" w:after="120" w:line="276" w:lineRule="auto"/>
        <w:jc w:val="center"/>
        <w:rPr>
          <w:rFonts w:ascii="Arial" w:hAnsi="Arial" w:cs="Arial"/>
          <w:sz w:val="20"/>
          <w:szCs w:val="20"/>
        </w:rPr>
      </w:pPr>
      <w:r w:rsidRPr="00DA0598">
        <w:rPr>
          <w:rFonts w:ascii="Arial" w:hAnsi="Arial" w:cs="Arial"/>
          <w:sz w:val="20"/>
          <w:szCs w:val="20"/>
        </w:rPr>
        <w:t>Data da sessão:</w:t>
      </w:r>
      <w:r w:rsidR="00B23D54" w:rsidRPr="00DA0598">
        <w:rPr>
          <w:rFonts w:ascii="Arial" w:hAnsi="Arial" w:cs="Arial"/>
          <w:sz w:val="20"/>
          <w:szCs w:val="20"/>
        </w:rPr>
        <w:t xml:space="preserve"> </w:t>
      </w:r>
      <w:r w:rsidR="00DD559A">
        <w:rPr>
          <w:rFonts w:ascii="Arial" w:hAnsi="Arial" w:cs="Arial"/>
          <w:sz w:val="20"/>
          <w:szCs w:val="20"/>
        </w:rPr>
        <w:t>02/09</w:t>
      </w:r>
      <w:r w:rsidR="00804C3F" w:rsidRPr="00DA0598">
        <w:rPr>
          <w:rFonts w:ascii="Arial" w:hAnsi="Arial" w:cs="Arial"/>
          <w:sz w:val="20"/>
          <w:szCs w:val="20"/>
        </w:rPr>
        <w:t>/201</w:t>
      </w:r>
      <w:r w:rsidR="00586EB1" w:rsidRPr="00DA0598">
        <w:rPr>
          <w:rFonts w:ascii="Arial" w:hAnsi="Arial" w:cs="Arial"/>
          <w:sz w:val="20"/>
          <w:szCs w:val="20"/>
        </w:rPr>
        <w:t>9</w:t>
      </w:r>
    </w:p>
    <w:p w:rsidR="008329C0" w:rsidRPr="00DA0598" w:rsidRDefault="008329C0" w:rsidP="005D025B">
      <w:pPr>
        <w:spacing w:before="120" w:after="120" w:line="276" w:lineRule="auto"/>
        <w:jc w:val="center"/>
        <w:rPr>
          <w:rFonts w:ascii="Arial" w:hAnsi="Arial" w:cs="Arial"/>
          <w:sz w:val="20"/>
          <w:szCs w:val="20"/>
        </w:rPr>
      </w:pPr>
      <w:r w:rsidRPr="00DA0598">
        <w:rPr>
          <w:rFonts w:ascii="Arial" w:hAnsi="Arial" w:cs="Arial"/>
          <w:sz w:val="20"/>
          <w:szCs w:val="20"/>
        </w:rPr>
        <w:t>Horário: 10h00m (Horário de Brasília)</w:t>
      </w:r>
    </w:p>
    <w:p w:rsidR="008329C0" w:rsidRPr="00DA0598" w:rsidRDefault="008329C0" w:rsidP="005D025B">
      <w:pPr>
        <w:spacing w:before="120" w:after="120" w:line="276" w:lineRule="auto"/>
        <w:ind w:right="-15"/>
        <w:jc w:val="center"/>
        <w:rPr>
          <w:rFonts w:ascii="Arial" w:hAnsi="Arial" w:cs="Arial"/>
          <w:sz w:val="20"/>
          <w:szCs w:val="20"/>
        </w:rPr>
      </w:pPr>
      <w:r w:rsidRPr="00DA0598">
        <w:rPr>
          <w:rFonts w:ascii="Arial" w:hAnsi="Arial" w:cs="Arial"/>
          <w:sz w:val="20"/>
          <w:szCs w:val="20"/>
        </w:rPr>
        <w:t xml:space="preserve">Local: Portal de Compras do Governo Federal – </w:t>
      </w:r>
      <w:hyperlink r:id="rId14">
        <w:r w:rsidRPr="00DA0598">
          <w:rPr>
            <w:rFonts w:ascii="Arial" w:hAnsi="Arial" w:cs="Arial"/>
            <w:sz w:val="20"/>
            <w:szCs w:val="20"/>
            <w:u w:val="single"/>
          </w:rPr>
          <w:t>www.comprasgovernamentais.gov.br</w:t>
        </w:r>
      </w:hyperlink>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sz w:val="20"/>
          <w:szCs w:val="20"/>
        </w:rPr>
      </w:pPr>
    </w:p>
    <w:p w:rsidR="008329C0" w:rsidRPr="00DA0598" w:rsidRDefault="008329C0" w:rsidP="005D025B">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DO OBJETO</w:t>
      </w:r>
    </w:p>
    <w:p w:rsidR="00882B5C" w:rsidRPr="004B0FA4" w:rsidRDefault="00882B5C" w:rsidP="004634C5">
      <w:pPr>
        <w:numPr>
          <w:ilvl w:val="1"/>
          <w:numId w:val="1"/>
        </w:numPr>
        <w:autoSpaceDE w:val="0"/>
        <w:autoSpaceDN w:val="0"/>
        <w:adjustRightInd w:val="0"/>
        <w:spacing w:before="120" w:after="120" w:line="240" w:lineRule="auto"/>
        <w:jc w:val="both"/>
        <w:rPr>
          <w:rFonts w:eastAsia="Calibri" w:cs="Calibri"/>
          <w:sz w:val="20"/>
          <w:szCs w:val="20"/>
        </w:rPr>
      </w:pPr>
      <w:bookmarkStart w:id="1" w:name="_Hlk2627331"/>
      <w:r w:rsidRPr="004B0FA4">
        <w:rPr>
          <w:rFonts w:eastAsia="Calibri" w:cs="Calibri"/>
          <w:sz w:val="20"/>
          <w:szCs w:val="20"/>
        </w:rPr>
        <w:t xml:space="preserve">A presente licitação tem como objetivo a </w:t>
      </w:r>
      <w:r w:rsidR="00EF3AD7" w:rsidRPr="00EF3AD7">
        <w:rPr>
          <w:rFonts w:eastAsia="Calibri" w:cs="Calibri"/>
          <w:sz w:val="20"/>
          <w:szCs w:val="20"/>
        </w:rPr>
        <w:t xml:space="preserve">contratação de empresa especializada e credenciada para prestação de </w:t>
      </w:r>
      <w:r w:rsidR="004634C5" w:rsidRPr="004634C5">
        <w:rPr>
          <w:rFonts w:eastAsia="Calibri" w:cs="Calibri"/>
          <w:sz w:val="20"/>
          <w:szCs w:val="20"/>
        </w:rPr>
        <w:t>Serviço Telefônico Fixo Comutado – STFC, na modalidade local, de fixo para fixo e de fixo para móvel VC1), através de linhas analógicas, para atender as necessidades operacionais de comunicação da Universidade Federal Fluminense, no interior do Estado do Rio de Janeiro e no município de Niterói</w:t>
      </w:r>
      <w:r w:rsidR="004634C5">
        <w:rPr>
          <w:rFonts w:eastAsia="Calibri" w:cs="Calibri"/>
          <w:sz w:val="20"/>
          <w:szCs w:val="20"/>
        </w:rPr>
        <w:t>, conforme especificações do termo de referência.</w:t>
      </w:r>
    </w:p>
    <w:bookmarkEnd w:id="1"/>
    <w:p w:rsidR="00586EB1" w:rsidRPr="004B0FA4" w:rsidRDefault="00586EB1" w:rsidP="00586EB1">
      <w:pPr>
        <w:pStyle w:val="PADRO"/>
        <w:keepNext w:val="0"/>
        <w:widowControl/>
        <w:numPr>
          <w:ilvl w:val="1"/>
          <w:numId w:val="1"/>
        </w:numPr>
        <w:shd w:val="clear" w:color="auto" w:fill="auto"/>
        <w:spacing w:before="120" w:after="120"/>
        <w:rPr>
          <w:rFonts w:asciiTheme="minorHAnsi" w:eastAsia="Calibri" w:hAnsiTheme="minorHAnsi" w:cs="Calibri"/>
          <w:szCs w:val="20"/>
          <w:lang w:eastAsia="en-US" w:bidi="ar-SA"/>
        </w:rPr>
      </w:pPr>
      <w:r w:rsidRPr="004B0FA4">
        <w:rPr>
          <w:rFonts w:asciiTheme="minorHAnsi" w:eastAsia="Calibri" w:hAnsiTheme="minorHAnsi" w:cs="Calibri"/>
          <w:szCs w:val="20"/>
          <w:lang w:eastAsia="en-US" w:bidi="ar-SA"/>
        </w:rPr>
        <w:t>A licitação será</w:t>
      </w:r>
      <w:r w:rsidR="00F35B77">
        <w:rPr>
          <w:rFonts w:asciiTheme="minorHAnsi" w:eastAsia="Calibri" w:hAnsiTheme="minorHAnsi" w:cs="Calibri"/>
          <w:szCs w:val="20"/>
          <w:lang w:eastAsia="en-US" w:bidi="ar-SA"/>
        </w:rPr>
        <w:t xml:space="preserve"> por </w:t>
      </w:r>
      <w:r w:rsidR="009B2824">
        <w:rPr>
          <w:rFonts w:asciiTheme="minorHAnsi" w:eastAsia="Calibri" w:hAnsiTheme="minorHAnsi" w:cs="Calibri"/>
          <w:szCs w:val="20"/>
          <w:lang w:eastAsia="en-US" w:bidi="ar-SA"/>
        </w:rPr>
        <w:t>itens</w:t>
      </w:r>
      <w:r w:rsidRPr="004B0FA4">
        <w:rPr>
          <w:rFonts w:asciiTheme="minorHAnsi" w:eastAsia="Calibri" w:hAnsiTheme="minorHAnsi" w:cs="Calibri"/>
          <w:szCs w:val="20"/>
          <w:lang w:eastAsia="en-US" w:bidi="ar-SA"/>
        </w:rPr>
        <w:t>, conforme tabela constante do Termo de Referência</w:t>
      </w:r>
      <w:r w:rsidR="004B0FA4">
        <w:rPr>
          <w:rFonts w:asciiTheme="minorHAnsi" w:eastAsia="Calibri" w:hAnsiTheme="minorHAnsi" w:cs="Calibri"/>
          <w:szCs w:val="20"/>
          <w:lang w:eastAsia="en-US" w:bidi="ar-SA"/>
        </w:rPr>
        <w:t>.</w:t>
      </w:r>
    </w:p>
    <w:p w:rsidR="00586EB1" w:rsidRPr="004B0FA4" w:rsidRDefault="00586EB1" w:rsidP="00586EB1">
      <w:pPr>
        <w:pStyle w:val="PADRO"/>
        <w:keepNext w:val="0"/>
        <w:widowControl/>
        <w:numPr>
          <w:ilvl w:val="1"/>
          <w:numId w:val="1"/>
        </w:numPr>
        <w:shd w:val="clear" w:color="auto" w:fill="auto"/>
        <w:spacing w:before="120" w:after="120"/>
        <w:rPr>
          <w:rFonts w:asciiTheme="minorHAnsi" w:eastAsia="Calibri" w:hAnsiTheme="minorHAnsi" w:cs="Calibri"/>
          <w:szCs w:val="20"/>
          <w:lang w:eastAsia="en-US" w:bidi="ar-SA"/>
        </w:rPr>
      </w:pPr>
      <w:r w:rsidRPr="004B0FA4">
        <w:rPr>
          <w:rFonts w:asciiTheme="minorHAnsi" w:eastAsia="Calibri" w:hAnsiTheme="minorHAnsi" w:cs="Calibri"/>
          <w:szCs w:val="20"/>
          <w:lang w:eastAsia="en-US" w:bidi="ar-SA"/>
        </w:rPr>
        <w:t xml:space="preserve">O critério de julgamento adotado será o menor preço do </w:t>
      </w:r>
      <w:r w:rsidR="009B2824">
        <w:rPr>
          <w:rFonts w:asciiTheme="minorHAnsi" w:eastAsia="Calibri" w:hAnsiTheme="minorHAnsi" w:cs="Calibri"/>
          <w:szCs w:val="20"/>
          <w:lang w:eastAsia="en-US" w:bidi="ar-SA"/>
        </w:rPr>
        <w:t>item</w:t>
      </w:r>
      <w:r w:rsidR="00EF3AD7">
        <w:rPr>
          <w:rFonts w:asciiTheme="minorHAnsi" w:eastAsia="Calibri" w:hAnsiTheme="minorHAnsi" w:cs="Calibri"/>
          <w:szCs w:val="20"/>
          <w:lang w:eastAsia="en-US" w:bidi="ar-SA"/>
        </w:rPr>
        <w:t>,</w:t>
      </w:r>
      <w:r w:rsidRPr="004B0FA4">
        <w:rPr>
          <w:rFonts w:asciiTheme="minorHAnsi" w:eastAsia="Calibri" w:hAnsiTheme="minorHAnsi" w:cs="Calibri"/>
          <w:szCs w:val="20"/>
          <w:lang w:eastAsia="en-US" w:bidi="ar-SA"/>
        </w:rPr>
        <w:t xml:space="preserve"> observadas as exigências contidas neste Edital e seus Anexos quanto às especificações do objeto.</w:t>
      </w:r>
    </w:p>
    <w:p w:rsidR="00882B5C" w:rsidRPr="004B0FA4" w:rsidRDefault="00882B5C" w:rsidP="00882B5C">
      <w:pPr>
        <w:numPr>
          <w:ilvl w:val="2"/>
          <w:numId w:val="1"/>
        </w:numPr>
        <w:autoSpaceDE w:val="0"/>
        <w:autoSpaceDN w:val="0"/>
        <w:adjustRightInd w:val="0"/>
        <w:spacing w:before="120" w:after="120" w:line="240" w:lineRule="auto"/>
        <w:jc w:val="both"/>
        <w:rPr>
          <w:rFonts w:eastAsia="Calibri" w:cs="Calibri"/>
          <w:sz w:val="20"/>
          <w:szCs w:val="20"/>
        </w:rPr>
      </w:pPr>
      <w:r w:rsidRPr="004B0FA4">
        <w:rPr>
          <w:rFonts w:eastAsia="Calibri" w:cs="Calibri"/>
          <w:sz w:val="20"/>
          <w:szCs w:val="20"/>
        </w:rPr>
        <w:t xml:space="preserve">A contratação compreende, </w:t>
      </w:r>
      <w:r w:rsidR="004B0FA4">
        <w:rPr>
          <w:rFonts w:eastAsia="Calibri" w:cs="Calibri"/>
          <w:sz w:val="20"/>
          <w:szCs w:val="20"/>
        </w:rPr>
        <w:t>serviço sem cessão de mão de obras.</w:t>
      </w:r>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b/>
          <w:sz w:val="20"/>
          <w:szCs w:val="20"/>
        </w:rPr>
      </w:pPr>
    </w:p>
    <w:p w:rsidR="008329C0" w:rsidRPr="00DA0598" w:rsidRDefault="008329C0" w:rsidP="00586EB1">
      <w:pPr>
        <w:pStyle w:val="PargrafodaLista"/>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DOS RECURSOS ORÇAMENTÁRIOS</w:t>
      </w:r>
    </w:p>
    <w:p w:rsidR="00586EB1" w:rsidRDefault="00586EB1"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As despesas para atender a esta licitação estão programadas em dotação orçamentária própria, prevista no orçamento da União para o exercício de 2019, na classificação abaixo:</w:t>
      </w:r>
    </w:p>
    <w:p w:rsidR="00F35B77" w:rsidRPr="004B6C72" w:rsidRDefault="00F35B77" w:rsidP="00F35B77">
      <w:pPr>
        <w:pStyle w:val="PargrafodaLista"/>
        <w:spacing w:after="0"/>
        <w:ind w:left="432"/>
        <w:jc w:val="both"/>
        <w:rPr>
          <w:rFonts w:eastAsia="Calibri" w:cs="Calibri"/>
          <w:sz w:val="20"/>
          <w:szCs w:val="20"/>
        </w:rPr>
      </w:pP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Gestão/Unidade: 150182</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Fonte: 8100000000</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Programa de Trabalho:  108258</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Elemento de Despesa:  33903</w:t>
      </w:r>
      <w:r w:rsidR="00827490">
        <w:rPr>
          <w:rFonts w:eastAsia="Calibri" w:cs="Calibri"/>
          <w:sz w:val="20"/>
          <w:szCs w:val="20"/>
        </w:rPr>
        <w:t>9</w:t>
      </w:r>
    </w:p>
    <w:p w:rsidR="007D3EC2" w:rsidRPr="007D3EC2" w:rsidRDefault="007D3EC2" w:rsidP="007D3EC2">
      <w:pPr>
        <w:pStyle w:val="PargrafodaLista"/>
        <w:spacing w:before="120" w:after="120" w:line="276" w:lineRule="auto"/>
        <w:ind w:left="360"/>
        <w:jc w:val="both"/>
        <w:rPr>
          <w:rFonts w:eastAsia="Calibri" w:cs="Calibri"/>
          <w:sz w:val="20"/>
          <w:szCs w:val="20"/>
        </w:rPr>
      </w:pPr>
      <w:r w:rsidRPr="007D3EC2">
        <w:rPr>
          <w:rFonts w:eastAsia="Calibri" w:cs="Calibri"/>
          <w:sz w:val="20"/>
          <w:szCs w:val="20"/>
        </w:rPr>
        <w:t>PI: M20R</w:t>
      </w:r>
      <w:r w:rsidR="004634C5">
        <w:rPr>
          <w:rFonts w:eastAsia="Calibri" w:cs="Calibri"/>
          <w:sz w:val="20"/>
          <w:szCs w:val="20"/>
        </w:rPr>
        <w:t>KN</w:t>
      </w:r>
      <w:r w:rsidRPr="007D3EC2">
        <w:rPr>
          <w:rFonts w:eastAsia="Calibri" w:cs="Calibri"/>
          <w:sz w:val="20"/>
          <w:szCs w:val="20"/>
        </w:rPr>
        <w:t>0101N</w:t>
      </w:r>
    </w:p>
    <w:p w:rsidR="006D0660" w:rsidRPr="004634C5" w:rsidRDefault="008329C0" w:rsidP="004B6C72">
      <w:pPr>
        <w:pStyle w:val="PargrafodaLista"/>
        <w:numPr>
          <w:ilvl w:val="1"/>
          <w:numId w:val="1"/>
        </w:numPr>
        <w:spacing w:after="0"/>
        <w:jc w:val="both"/>
        <w:rPr>
          <w:rFonts w:eastAsia="Calibri" w:cs="Calibri"/>
          <w:color w:val="000000" w:themeColor="text1"/>
          <w:sz w:val="20"/>
          <w:szCs w:val="20"/>
        </w:rPr>
      </w:pPr>
      <w:r w:rsidRPr="007D3EC2">
        <w:rPr>
          <w:rFonts w:eastAsia="Calibri" w:cs="Calibri"/>
          <w:sz w:val="20"/>
          <w:szCs w:val="20"/>
        </w:rPr>
        <w:lastRenderedPageBreak/>
        <w:t xml:space="preserve">A despesa do exercício subsequente correrá à conta da </w:t>
      </w:r>
      <w:r w:rsidR="00160AF8" w:rsidRPr="007D3EC2">
        <w:rPr>
          <w:rFonts w:eastAsia="Calibri" w:cs="Calibri"/>
          <w:sz w:val="20"/>
          <w:szCs w:val="20"/>
        </w:rPr>
        <w:t>d</w:t>
      </w:r>
      <w:r w:rsidRPr="007D3EC2">
        <w:rPr>
          <w:rFonts w:eastAsia="Calibri" w:cs="Calibri"/>
          <w:sz w:val="20"/>
          <w:szCs w:val="20"/>
        </w:rPr>
        <w:t xml:space="preserve">otação </w:t>
      </w:r>
      <w:r w:rsidR="00160AF8" w:rsidRPr="007D3EC2">
        <w:rPr>
          <w:rFonts w:eastAsia="Calibri" w:cs="Calibri"/>
          <w:sz w:val="20"/>
          <w:szCs w:val="20"/>
        </w:rPr>
        <w:t>o</w:t>
      </w:r>
      <w:r w:rsidRPr="007D3EC2">
        <w:rPr>
          <w:rFonts w:eastAsia="Calibri" w:cs="Calibri"/>
          <w:sz w:val="20"/>
          <w:szCs w:val="20"/>
        </w:rPr>
        <w:t xml:space="preserve">rçamentária consignada para essa </w:t>
      </w:r>
      <w:r w:rsidRPr="004634C5">
        <w:rPr>
          <w:rFonts w:eastAsia="Calibri" w:cs="Calibri"/>
          <w:color w:val="000000" w:themeColor="text1"/>
          <w:sz w:val="20"/>
          <w:szCs w:val="20"/>
        </w:rPr>
        <w:t>atividade no respectivo exercício, ficando os pagamentos condicionados à aprovação dessa dotação.</w:t>
      </w:r>
    </w:p>
    <w:p w:rsidR="005D025B" w:rsidRPr="004634C5" w:rsidRDefault="008329C0" w:rsidP="00EF3AD7">
      <w:pPr>
        <w:pStyle w:val="PargrafodaLista"/>
        <w:numPr>
          <w:ilvl w:val="1"/>
          <w:numId w:val="1"/>
        </w:numPr>
        <w:spacing w:after="0"/>
        <w:jc w:val="both"/>
        <w:rPr>
          <w:rFonts w:ascii="Arial" w:hAnsi="Arial" w:cs="Arial"/>
          <w:color w:val="000000" w:themeColor="text1"/>
          <w:sz w:val="20"/>
          <w:szCs w:val="20"/>
        </w:rPr>
      </w:pPr>
      <w:r w:rsidRPr="004634C5">
        <w:rPr>
          <w:rFonts w:eastAsia="Calibri" w:cs="Calibri"/>
          <w:color w:val="000000" w:themeColor="text1"/>
          <w:sz w:val="20"/>
          <w:szCs w:val="20"/>
        </w:rPr>
        <w:t xml:space="preserve">A despesa anual com a execução dos serviços de que trata o objeto, foi estimada </w:t>
      </w:r>
      <w:r w:rsidR="005B294F" w:rsidRPr="004634C5">
        <w:rPr>
          <w:rFonts w:eastAsia="Calibri" w:cs="Calibri"/>
          <w:color w:val="000000" w:themeColor="text1"/>
          <w:sz w:val="20"/>
          <w:szCs w:val="20"/>
        </w:rPr>
        <w:t xml:space="preserve">total </w:t>
      </w:r>
      <w:r w:rsidRPr="004634C5">
        <w:rPr>
          <w:rFonts w:eastAsia="Calibri" w:cs="Calibri"/>
          <w:color w:val="000000" w:themeColor="text1"/>
          <w:sz w:val="20"/>
          <w:szCs w:val="20"/>
        </w:rPr>
        <w:t xml:space="preserve">em </w:t>
      </w:r>
      <w:r w:rsidR="006D0660" w:rsidRPr="004634C5">
        <w:rPr>
          <w:rFonts w:eastAsia="Calibri" w:cs="Calibri"/>
          <w:color w:val="000000" w:themeColor="text1"/>
          <w:sz w:val="20"/>
          <w:szCs w:val="20"/>
        </w:rPr>
        <w:t>R$</w:t>
      </w:r>
      <w:r w:rsidR="004634C5" w:rsidRPr="004634C5">
        <w:rPr>
          <w:rFonts w:eastAsia="Calibri" w:cs="Calibri"/>
          <w:color w:val="000000" w:themeColor="text1"/>
          <w:sz w:val="20"/>
          <w:szCs w:val="20"/>
        </w:rPr>
        <w:t xml:space="preserve"> 32.400,00</w:t>
      </w:r>
      <w:r w:rsidR="007D3EC2" w:rsidRPr="004634C5">
        <w:rPr>
          <w:rFonts w:eastAsia="Calibri" w:cs="Calibri"/>
          <w:color w:val="000000" w:themeColor="text1"/>
          <w:sz w:val="20"/>
          <w:szCs w:val="20"/>
        </w:rPr>
        <w:t xml:space="preserve"> (</w:t>
      </w:r>
      <w:r w:rsidR="004634C5" w:rsidRPr="004634C5">
        <w:rPr>
          <w:rFonts w:eastAsia="Calibri" w:cs="Calibri"/>
          <w:color w:val="000000" w:themeColor="text1"/>
          <w:sz w:val="20"/>
          <w:szCs w:val="20"/>
        </w:rPr>
        <w:t>trinta e dois mil e quatrocentos reais</w:t>
      </w:r>
      <w:r w:rsidR="007D3EC2" w:rsidRPr="004634C5">
        <w:rPr>
          <w:rFonts w:eastAsia="Calibri" w:cs="Calibri"/>
          <w:color w:val="000000" w:themeColor="text1"/>
          <w:sz w:val="20"/>
          <w:szCs w:val="20"/>
        </w:rPr>
        <w:t>)</w:t>
      </w:r>
      <w:r w:rsidR="00AF6B78" w:rsidRPr="004634C5">
        <w:rPr>
          <w:rFonts w:eastAsia="Calibri" w:cs="Calibri"/>
          <w:color w:val="000000" w:themeColor="text1"/>
          <w:sz w:val="20"/>
          <w:szCs w:val="20"/>
        </w:rPr>
        <w:t xml:space="preserve"> </w:t>
      </w:r>
      <w:r w:rsidR="005B294F" w:rsidRPr="004634C5">
        <w:rPr>
          <w:rFonts w:eastAsia="Calibri" w:cs="Calibri"/>
          <w:color w:val="000000" w:themeColor="text1"/>
          <w:sz w:val="20"/>
          <w:szCs w:val="20"/>
        </w:rPr>
        <w:t>sendo os valores máximos de aceitação</w:t>
      </w:r>
      <w:r w:rsidR="00EF3AD7" w:rsidRPr="004634C5">
        <w:rPr>
          <w:rFonts w:eastAsia="Calibri" w:cs="Calibri"/>
          <w:color w:val="000000" w:themeColor="text1"/>
          <w:sz w:val="20"/>
          <w:szCs w:val="20"/>
        </w:rPr>
        <w:t>.</w:t>
      </w:r>
      <w:r w:rsidR="006D0660" w:rsidRPr="004634C5">
        <w:rPr>
          <w:rFonts w:ascii="Arial" w:hAnsi="Arial" w:cs="Arial"/>
          <w:color w:val="000000" w:themeColor="text1"/>
          <w:sz w:val="20"/>
          <w:szCs w:val="20"/>
        </w:rPr>
        <w:tab/>
      </w:r>
    </w:p>
    <w:p w:rsidR="008329C0" w:rsidRPr="004634C5" w:rsidRDefault="008329C0"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color w:val="000000" w:themeColor="text1"/>
          <w:sz w:val="20"/>
          <w:szCs w:val="20"/>
        </w:rPr>
      </w:pPr>
      <w:r w:rsidRPr="004634C5">
        <w:rPr>
          <w:rFonts w:ascii="Arial" w:hAnsi="Arial" w:cs="Arial"/>
          <w:b/>
          <w:color w:val="000000" w:themeColor="text1"/>
          <w:sz w:val="20"/>
          <w:szCs w:val="20"/>
        </w:rPr>
        <w:t>DO CREDENCIAMENTO</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Credenciamento é o nível básico do registro cadastral no SICAF, que permite a participação dos interessados na modalidade licitatória Pregão, em sua forma eletrônica</w:t>
      </w:r>
      <w:r w:rsidR="004B6C72">
        <w:rPr>
          <w:rFonts w:eastAsia="Calibri" w:cs="Calibri"/>
          <w:sz w:val="20"/>
          <w:szCs w:val="20"/>
        </w:rPr>
        <w:t xml:space="preserve">. </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cadastro no SICAF deverá ser feito no Portal de Compras do Governo Federal, no sítio </w:t>
      </w:r>
      <w:hyperlink r:id="rId15" w:history="1">
        <w:r w:rsidRPr="004B6C72">
          <w:rPr>
            <w:rFonts w:eastAsia="Calibri" w:cs="Calibri"/>
            <w:sz w:val="20"/>
            <w:szCs w:val="20"/>
          </w:rPr>
          <w:t>www.comprasgovernamentais.gov.br</w:t>
        </w:r>
      </w:hyperlink>
      <w:r w:rsidRPr="004B6C72">
        <w:rPr>
          <w:rFonts w:eastAsia="Calibri" w:cs="Calibri"/>
          <w:sz w:val="20"/>
          <w:szCs w:val="20"/>
        </w:rPr>
        <w:t>, por meio de certificado digital conferido pela Infraestrutura de Chaves Públicas Brasileira – ICP - Brasil.</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credenciamento junto ao provedor do sistema implica a responsabilidade do licitante ou de seu representante legal e a presunção de sua capacidade técnica para realização das transações inerentes a este Pregão.</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É de responsabilidade exclusiva do licitante o uso adequado do sistema, cabendo-lhe zelar por todas as transações efetuadas diretamente ou por seu representante.</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2F0168" w:rsidRP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não observância do disposto no subitem anterior poderá ensejar desclassificação no momento da habilitação.</w:t>
      </w:r>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sz w:val="20"/>
          <w:szCs w:val="20"/>
        </w:rPr>
      </w:pPr>
    </w:p>
    <w:p w:rsidR="008329C0" w:rsidRPr="00DA0598" w:rsidRDefault="008329C0"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DA PARTICIPAÇÃO</w:t>
      </w:r>
      <w:r w:rsidR="0088245B" w:rsidRPr="00DA0598">
        <w:rPr>
          <w:rFonts w:ascii="Arial" w:hAnsi="Arial" w:cs="Arial"/>
          <w:b/>
          <w:sz w:val="20"/>
          <w:szCs w:val="20"/>
        </w:rPr>
        <w:t xml:space="preserve"> NO PREGÃO</w:t>
      </w:r>
      <w:r w:rsidR="00D0727E" w:rsidRPr="00DA0598">
        <w:rPr>
          <w:rFonts w:ascii="Arial" w:hAnsi="Arial" w:cs="Arial"/>
          <w:b/>
          <w:sz w:val="20"/>
          <w:szCs w:val="20"/>
        </w:rPr>
        <w:t xml:space="preserve"> ELETRÔNICO</w:t>
      </w:r>
      <w:r w:rsidRPr="00DA0598">
        <w:rPr>
          <w:rFonts w:ascii="Arial" w:hAnsi="Arial" w:cs="Arial"/>
          <w:b/>
          <w:sz w:val="20"/>
          <w:szCs w:val="20"/>
        </w:rPr>
        <w:t>.</w:t>
      </w:r>
    </w:p>
    <w:p w:rsidR="002F0168" w:rsidRP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2F0168" w:rsidRPr="004B6C72" w:rsidRDefault="002F0168" w:rsidP="005C5CED">
      <w:pPr>
        <w:numPr>
          <w:ilvl w:val="2"/>
          <w:numId w:val="1"/>
        </w:numPr>
        <w:autoSpaceDE w:val="0"/>
        <w:snapToGrid w:val="0"/>
        <w:spacing w:before="120" w:after="120" w:line="276" w:lineRule="auto"/>
        <w:jc w:val="both"/>
        <w:rPr>
          <w:rFonts w:eastAsia="Calibri" w:cs="Calibri"/>
          <w:sz w:val="20"/>
          <w:szCs w:val="20"/>
        </w:rPr>
      </w:pPr>
      <w:r w:rsidRPr="004B6C72">
        <w:rPr>
          <w:rFonts w:eastAsia="Calibri" w:cs="Calibri"/>
          <w:sz w:val="20"/>
          <w:szCs w:val="20"/>
        </w:rPr>
        <w:t>Os licitantes deverão utilizar o certificado digital para acesso ao Sistema</w:t>
      </w:r>
    </w:p>
    <w:p w:rsidR="002F0168" w:rsidRPr="004B6C72" w:rsidRDefault="002F0168" w:rsidP="00DA0598">
      <w:pPr>
        <w:pStyle w:val="PargrafodaLista"/>
        <w:numPr>
          <w:ilvl w:val="1"/>
          <w:numId w:val="1"/>
        </w:numPr>
        <w:spacing w:before="120" w:after="120" w:line="276" w:lineRule="auto"/>
        <w:ind w:left="426"/>
        <w:jc w:val="both"/>
        <w:rPr>
          <w:rFonts w:eastAsia="Calibri" w:cs="Calibri"/>
          <w:sz w:val="20"/>
          <w:szCs w:val="20"/>
        </w:rPr>
      </w:pPr>
      <w:r w:rsidRPr="004B6C72">
        <w:rPr>
          <w:rFonts w:eastAsia="Calibri" w:cs="Calibri"/>
          <w:sz w:val="20"/>
          <w:szCs w:val="20"/>
        </w:rPr>
        <w:t>Não poderão participar desta licitação os interessados:</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r w:rsidRPr="004B6C72">
        <w:rPr>
          <w:rFonts w:asciiTheme="minorHAnsi" w:eastAsia="Calibri" w:hAnsiTheme="minorHAnsi" w:cs="Calibri"/>
          <w:szCs w:val="20"/>
          <w:lang w:eastAsia="en-US" w:bidi="ar-SA"/>
        </w:rPr>
        <w:t>proibidos de participar de licitações e celebrar contratos administrativos, na forma da legislação vigente;</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r w:rsidRPr="004B6C72">
        <w:rPr>
          <w:rFonts w:asciiTheme="minorHAnsi" w:eastAsia="Calibri" w:hAnsiTheme="minorHAnsi" w:cs="Calibri"/>
          <w:szCs w:val="20"/>
          <w:lang w:eastAsia="en-US" w:bidi="ar-SA"/>
        </w:rPr>
        <w:t>que não atendam às condições deste Edital e seu(s) anexo(s);</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r w:rsidRPr="004B6C72">
        <w:rPr>
          <w:rFonts w:asciiTheme="minorHAnsi" w:eastAsia="Calibri" w:hAnsiTheme="minorHAnsi" w:cs="Calibri"/>
          <w:szCs w:val="20"/>
          <w:lang w:eastAsia="en-US" w:bidi="ar-SA"/>
        </w:rPr>
        <w:t>estrangeiros que não tenham representação legal no Brasil com poderes expressos para receber citação e responder administrativa ou judicialmente;</w:t>
      </w:r>
    </w:p>
    <w:p w:rsidR="002F0168" w:rsidRPr="004B6C72" w:rsidRDefault="002F0168" w:rsidP="00ED022A">
      <w:pPr>
        <w:pStyle w:val="PADRO"/>
        <w:keepNext w:val="0"/>
        <w:widowControl/>
        <w:numPr>
          <w:ilvl w:val="2"/>
          <w:numId w:val="4"/>
        </w:numPr>
        <w:spacing w:before="120" w:after="120"/>
        <w:ind w:left="709"/>
        <w:rPr>
          <w:rFonts w:asciiTheme="minorHAnsi" w:eastAsia="Calibri" w:hAnsiTheme="minorHAnsi" w:cs="Calibri"/>
          <w:szCs w:val="20"/>
          <w:lang w:eastAsia="en-US" w:bidi="ar-SA"/>
        </w:rPr>
      </w:pPr>
      <w:r w:rsidRPr="004B6C72">
        <w:rPr>
          <w:rFonts w:asciiTheme="minorHAnsi" w:eastAsia="Calibri" w:hAnsiTheme="minorHAnsi" w:cs="Calibri"/>
          <w:szCs w:val="20"/>
          <w:lang w:eastAsia="en-US" w:bidi="ar-SA"/>
        </w:rPr>
        <w:t>que se enquadrem nas vedações previstas no artigo 9º da Lei nº 8.666, de 1993;</w:t>
      </w:r>
    </w:p>
    <w:p w:rsidR="002F0168" w:rsidRPr="004B6C72" w:rsidRDefault="002F0168" w:rsidP="00ED022A">
      <w:pPr>
        <w:pStyle w:val="PADRO"/>
        <w:numPr>
          <w:ilvl w:val="2"/>
          <w:numId w:val="4"/>
        </w:numPr>
        <w:ind w:left="709"/>
        <w:rPr>
          <w:rFonts w:asciiTheme="minorHAnsi" w:eastAsia="Calibri" w:hAnsiTheme="minorHAnsi" w:cs="Calibri"/>
          <w:szCs w:val="20"/>
          <w:lang w:eastAsia="en-US" w:bidi="ar-SA"/>
        </w:rPr>
      </w:pPr>
      <w:bookmarkStart w:id="2" w:name="_Hlk519667653"/>
      <w:r w:rsidRPr="004B6C72">
        <w:rPr>
          <w:rFonts w:asciiTheme="minorHAnsi" w:eastAsia="Calibri" w:hAnsiTheme="minorHAnsi" w:cs="Calibri"/>
          <w:szCs w:val="20"/>
          <w:lang w:eastAsia="en-US" w:bidi="ar-SA"/>
        </w:rPr>
        <w:t xml:space="preserve">que estejam sob falência, recuperação judicial ou extrajudicial, ou concurso de credores ou insolvência, em processo de dissolução ou liquidação, observado o disposto no item </w:t>
      </w:r>
      <w:r w:rsidRPr="004B6C72">
        <w:rPr>
          <w:rFonts w:asciiTheme="minorHAnsi" w:eastAsia="Calibri" w:hAnsiTheme="minorHAnsi" w:cs="Calibri"/>
          <w:szCs w:val="20"/>
          <w:lang w:eastAsia="en-US" w:bidi="ar-SA"/>
        </w:rPr>
        <w:fldChar w:fldCharType="begin"/>
      </w:r>
      <w:r w:rsidRPr="004B6C72">
        <w:rPr>
          <w:rFonts w:asciiTheme="minorHAnsi" w:eastAsia="Calibri" w:hAnsiTheme="minorHAnsi" w:cs="Calibri"/>
          <w:szCs w:val="20"/>
          <w:lang w:eastAsia="en-US" w:bidi="ar-SA"/>
        </w:rPr>
        <w:instrText xml:space="preserve"> REF _Ref532534462 \r \h </w:instrText>
      </w:r>
      <w:r w:rsidR="00DA0598" w:rsidRPr="004B6C72">
        <w:rPr>
          <w:rFonts w:asciiTheme="minorHAnsi" w:eastAsia="Calibri" w:hAnsiTheme="minorHAnsi" w:cs="Calibri"/>
          <w:szCs w:val="20"/>
          <w:lang w:eastAsia="en-US" w:bidi="ar-SA"/>
        </w:rPr>
        <w:instrText xml:space="preserve"> \* MERGEFORMAT </w:instrText>
      </w:r>
      <w:r w:rsidRPr="004B6C72">
        <w:rPr>
          <w:rFonts w:asciiTheme="minorHAnsi" w:eastAsia="Calibri" w:hAnsiTheme="minorHAnsi" w:cs="Calibri"/>
          <w:szCs w:val="20"/>
          <w:lang w:eastAsia="en-US" w:bidi="ar-SA"/>
        </w:rPr>
      </w:r>
      <w:r w:rsidRPr="004B6C72">
        <w:rPr>
          <w:rFonts w:asciiTheme="minorHAnsi" w:eastAsia="Calibri" w:hAnsiTheme="minorHAnsi" w:cs="Calibri"/>
          <w:szCs w:val="20"/>
          <w:lang w:eastAsia="en-US" w:bidi="ar-SA"/>
        </w:rPr>
        <w:fldChar w:fldCharType="separate"/>
      </w:r>
      <w:r w:rsidR="004A6611">
        <w:rPr>
          <w:rFonts w:asciiTheme="minorHAnsi" w:eastAsia="Calibri" w:hAnsiTheme="minorHAnsi" w:cs="Calibri"/>
          <w:szCs w:val="20"/>
          <w:lang w:eastAsia="en-US" w:bidi="ar-SA"/>
        </w:rPr>
        <w:t>8.20.1</w:t>
      </w:r>
      <w:r w:rsidRPr="004B6C72">
        <w:rPr>
          <w:rFonts w:asciiTheme="minorHAnsi" w:eastAsia="Calibri" w:hAnsiTheme="minorHAnsi" w:cs="Calibri"/>
          <w:szCs w:val="20"/>
          <w:lang w:eastAsia="en-US" w:bidi="ar-SA"/>
        </w:rPr>
        <w:fldChar w:fldCharType="end"/>
      </w:r>
      <w:r w:rsidRPr="004B6C72">
        <w:rPr>
          <w:rFonts w:asciiTheme="minorHAnsi" w:eastAsia="Calibri" w:hAnsiTheme="minorHAnsi" w:cs="Calibri"/>
          <w:szCs w:val="20"/>
          <w:lang w:eastAsia="en-US" w:bidi="ar-SA"/>
        </w:rPr>
        <w:fldChar w:fldCharType="begin"/>
      </w:r>
      <w:r w:rsidRPr="004B6C72">
        <w:rPr>
          <w:rFonts w:asciiTheme="minorHAnsi" w:eastAsia="Calibri" w:hAnsiTheme="minorHAnsi" w:cs="Calibri"/>
          <w:szCs w:val="20"/>
          <w:lang w:eastAsia="en-US" w:bidi="ar-SA"/>
        </w:rPr>
        <w:instrText xml:space="preserve"> REF _Ref532534462 \r \h </w:instrText>
      </w:r>
      <w:r w:rsidR="00DA0598" w:rsidRPr="004B6C72">
        <w:rPr>
          <w:rFonts w:asciiTheme="minorHAnsi" w:eastAsia="Calibri" w:hAnsiTheme="minorHAnsi" w:cs="Calibri"/>
          <w:szCs w:val="20"/>
          <w:lang w:eastAsia="en-US" w:bidi="ar-SA"/>
        </w:rPr>
        <w:instrText xml:space="preserve"> \* MERGEFORMAT </w:instrText>
      </w:r>
      <w:r w:rsidRPr="004B6C72">
        <w:rPr>
          <w:rFonts w:asciiTheme="minorHAnsi" w:eastAsia="Calibri" w:hAnsiTheme="minorHAnsi" w:cs="Calibri"/>
          <w:szCs w:val="20"/>
          <w:lang w:eastAsia="en-US" w:bidi="ar-SA"/>
        </w:rPr>
      </w:r>
      <w:r w:rsidRPr="004B6C72">
        <w:rPr>
          <w:rFonts w:asciiTheme="minorHAnsi" w:eastAsia="Calibri" w:hAnsiTheme="minorHAnsi" w:cs="Calibri"/>
          <w:szCs w:val="20"/>
          <w:lang w:eastAsia="en-US" w:bidi="ar-SA"/>
        </w:rPr>
        <w:fldChar w:fldCharType="separate"/>
      </w:r>
      <w:r w:rsidR="004A6611">
        <w:rPr>
          <w:rFonts w:asciiTheme="minorHAnsi" w:eastAsia="Calibri" w:hAnsiTheme="minorHAnsi" w:cs="Calibri"/>
          <w:szCs w:val="20"/>
          <w:lang w:eastAsia="en-US" w:bidi="ar-SA"/>
        </w:rPr>
        <w:t>8.20.1</w:t>
      </w:r>
      <w:r w:rsidRPr="004B6C72">
        <w:rPr>
          <w:rFonts w:asciiTheme="minorHAnsi" w:eastAsia="Calibri" w:hAnsiTheme="minorHAnsi" w:cs="Calibri"/>
          <w:szCs w:val="20"/>
          <w:lang w:eastAsia="en-US" w:bidi="ar-SA"/>
        </w:rPr>
        <w:fldChar w:fldCharType="end"/>
      </w:r>
      <w:r w:rsidRPr="004B6C72">
        <w:rPr>
          <w:rFonts w:asciiTheme="minorHAnsi" w:eastAsia="Calibri" w:hAnsiTheme="minorHAnsi" w:cs="Calibri"/>
          <w:szCs w:val="20"/>
          <w:lang w:eastAsia="en-US" w:bidi="ar-SA"/>
        </w:rPr>
        <w:t xml:space="preserve"> deste Edital;</w:t>
      </w:r>
      <w:bookmarkEnd w:id="2"/>
    </w:p>
    <w:p w:rsidR="002F0168" w:rsidRPr="004B6C72" w:rsidRDefault="002F0168" w:rsidP="00ED022A">
      <w:pPr>
        <w:pStyle w:val="PargrafodaLista"/>
        <w:numPr>
          <w:ilvl w:val="2"/>
          <w:numId w:val="4"/>
        </w:numPr>
        <w:spacing w:after="0" w:line="276" w:lineRule="auto"/>
        <w:ind w:left="709"/>
        <w:rPr>
          <w:rFonts w:eastAsia="Calibri" w:cs="Calibri"/>
          <w:sz w:val="20"/>
          <w:szCs w:val="20"/>
        </w:rPr>
      </w:pPr>
      <w:r w:rsidRPr="004B6C72">
        <w:rPr>
          <w:rFonts w:eastAsia="Calibri" w:cs="Calibri"/>
          <w:sz w:val="20"/>
          <w:szCs w:val="20"/>
        </w:rPr>
        <w:t>entidades empresariais que estejam reunidas em consórcio;</w:t>
      </w:r>
    </w:p>
    <w:p w:rsidR="00DA0598" w:rsidRPr="004B6C72" w:rsidRDefault="00DA0598" w:rsidP="00ED022A">
      <w:pPr>
        <w:pStyle w:val="PargrafodaLista"/>
        <w:numPr>
          <w:ilvl w:val="2"/>
          <w:numId w:val="4"/>
        </w:numPr>
        <w:tabs>
          <w:tab w:val="left" w:pos="1440"/>
        </w:tabs>
        <w:autoSpaceDE w:val="0"/>
        <w:snapToGrid w:val="0"/>
        <w:spacing w:before="120" w:after="120" w:line="276" w:lineRule="auto"/>
        <w:ind w:left="709"/>
        <w:jc w:val="both"/>
        <w:rPr>
          <w:rFonts w:eastAsia="Calibri" w:cs="Calibri"/>
          <w:sz w:val="20"/>
          <w:szCs w:val="20"/>
        </w:rPr>
      </w:pPr>
      <w:r w:rsidRPr="004B6C72">
        <w:rPr>
          <w:rFonts w:eastAsia="Calibri" w:cs="Calibri"/>
          <w:sz w:val="20"/>
          <w:szCs w:val="20"/>
        </w:rPr>
        <w:t xml:space="preserve">organizações da Sociedade Civil de Interesse Público - OSCIP, atuando nessa condição (Acórdão nº 746/2014-TCU-Plenário); </w:t>
      </w:r>
    </w:p>
    <w:p w:rsidR="00DA0598" w:rsidRPr="004B6C72" w:rsidRDefault="00DA0598" w:rsidP="00ED022A">
      <w:pPr>
        <w:numPr>
          <w:ilvl w:val="2"/>
          <w:numId w:val="4"/>
        </w:numPr>
        <w:tabs>
          <w:tab w:val="left" w:pos="1440"/>
        </w:tabs>
        <w:autoSpaceDE w:val="0"/>
        <w:snapToGrid w:val="0"/>
        <w:spacing w:before="120" w:after="120" w:line="276" w:lineRule="auto"/>
        <w:ind w:left="709"/>
        <w:jc w:val="both"/>
        <w:rPr>
          <w:rFonts w:eastAsia="Calibri" w:cs="Calibri"/>
          <w:sz w:val="20"/>
          <w:szCs w:val="20"/>
        </w:rPr>
      </w:pPr>
      <w:r w:rsidRPr="004B6C72">
        <w:rPr>
          <w:rFonts w:eastAsia="Calibri" w:cs="Calibri"/>
          <w:sz w:val="20"/>
          <w:szCs w:val="20"/>
        </w:rPr>
        <w:t>instituições sem fins lucrativos (parágrafo único do art. 12 da Instrução Normativa SEGES/MP nº 05/2017);</w:t>
      </w:r>
    </w:p>
    <w:p w:rsidR="00DA0598" w:rsidRPr="004B6C72" w:rsidRDefault="00DA0598" w:rsidP="00ED022A">
      <w:pPr>
        <w:numPr>
          <w:ilvl w:val="3"/>
          <w:numId w:val="4"/>
        </w:numPr>
        <w:tabs>
          <w:tab w:val="left" w:pos="1440"/>
        </w:tabs>
        <w:autoSpaceDE w:val="0"/>
        <w:snapToGrid w:val="0"/>
        <w:spacing w:before="120" w:after="120" w:line="276" w:lineRule="auto"/>
        <w:ind w:left="709"/>
        <w:jc w:val="both"/>
        <w:rPr>
          <w:rFonts w:eastAsia="Calibri" w:cs="Calibri"/>
          <w:sz w:val="20"/>
          <w:szCs w:val="20"/>
        </w:rPr>
      </w:pPr>
      <w:r w:rsidRPr="004B6C72">
        <w:rPr>
          <w:rFonts w:eastAsia="Calibri" w:cs="Calibri"/>
          <w:sz w:val="20"/>
          <w:szCs w:val="2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rsidR="00DA0598" w:rsidRPr="004B6C72" w:rsidRDefault="00DA0598" w:rsidP="00ED022A">
      <w:pPr>
        <w:numPr>
          <w:ilvl w:val="2"/>
          <w:numId w:val="4"/>
        </w:numPr>
        <w:tabs>
          <w:tab w:val="left" w:pos="1440"/>
        </w:tabs>
        <w:autoSpaceDE w:val="0"/>
        <w:snapToGrid w:val="0"/>
        <w:spacing w:before="120" w:after="120" w:line="276" w:lineRule="auto"/>
        <w:ind w:left="709"/>
        <w:jc w:val="both"/>
        <w:rPr>
          <w:rFonts w:eastAsia="Calibri" w:cs="Calibri"/>
          <w:sz w:val="20"/>
          <w:szCs w:val="20"/>
        </w:rPr>
      </w:pPr>
      <w:bookmarkStart w:id="3" w:name="_Hlk519667815"/>
      <w:r w:rsidRPr="004B6C72">
        <w:rPr>
          <w:rFonts w:eastAsia="Calibri" w:cs="Calibri"/>
          <w:sz w:val="20"/>
          <w:szCs w:val="20"/>
        </w:rPr>
        <w:t>sociedades cooperativas, considerando a vedação contida no art. 10 da Instrução Normativa SEGES/MP nº 5, de 2017, bem como o disposto no Termo de Conciliação firmado entre o Ministério Público do Trabalho e a AGU.</w:t>
      </w:r>
      <w:bookmarkEnd w:id="3"/>
    </w:p>
    <w:p w:rsidR="00DA0598" w:rsidRPr="004B6C72" w:rsidRDefault="00DA0598" w:rsidP="00DA0598">
      <w:pPr>
        <w:pStyle w:val="PargrafodaLista"/>
        <w:numPr>
          <w:ilvl w:val="1"/>
          <w:numId w:val="1"/>
        </w:numPr>
        <w:spacing w:before="120" w:after="120" w:line="276" w:lineRule="auto"/>
        <w:jc w:val="both"/>
        <w:rPr>
          <w:rFonts w:eastAsia="Calibri" w:cs="Calibri"/>
          <w:sz w:val="20"/>
          <w:szCs w:val="20"/>
        </w:rPr>
      </w:pPr>
      <w:r w:rsidRPr="004B6C72">
        <w:rPr>
          <w:rFonts w:eastAsia="Calibri" w:cs="Calibri"/>
          <w:sz w:val="20"/>
          <w:szCs w:val="20"/>
        </w:rPr>
        <w:lastRenderedPageBreak/>
        <w:t>Nos termos do art. 5º do Decreto nº 9.507, de 2018, é vedada a contratação de pessoa jurídica na qual haja administrador ou sócio com poder de direção, familiar de:</w:t>
      </w:r>
    </w:p>
    <w:p w:rsidR="00DA0598" w:rsidRPr="004B6C72" w:rsidRDefault="00DA0598" w:rsidP="00ED022A">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eastAsia="Calibri" w:hAnsiTheme="minorHAnsi" w:cs="Calibri"/>
          <w:sz w:val="20"/>
          <w:szCs w:val="20"/>
          <w:lang w:eastAsia="en-US"/>
        </w:rPr>
      </w:pPr>
      <w:r w:rsidRPr="004B6C72">
        <w:rPr>
          <w:rFonts w:asciiTheme="minorHAnsi" w:eastAsia="Calibri" w:hAnsiTheme="minorHAnsi" w:cs="Calibri"/>
          <w:sz w:val="20"/>
          <w:szCs w:val="20"/>
          <w:lang w:eastAsia="en-US"/>
        </w:rPr>
        <w:t>detentor de cargo em comissão ou função de confiança que atue na área responsável pela demanda ou contratação; ou</w:t>
      </w:r>
    </w:p>
    <w:p w:rsidR="00DA0598" w:rsidRPr="004B6C72" w:rsidRDefault="00DA0598" w:rsidP="00ED022A">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eastAsia="Calibri" w:hAnsiTheme="minorHAnsi" w:cs="Calibri"/>
          <w:sz w:val="20"/>
          <w:szCs w:val="20"/>
          <w:lang w:eastAsia="en-US"/>
        </w:rPr>
      </w:pPr>
      <w:r w:rsidRPr="004B6C72">
        <w:rPr>
          <w:rFonts w:asciiTheme="minorHAnsi" w:eastAsia="Calibri" w:hAnsiTheme="minorHAnsi" w:cs="Calibri"/>
          <w:sz w:val="20"/>
          <w:szCs w:val="20"/>
          <w:lang w:eastAsia="en-US"/>
        </w:rPr>
        <w:t>de autoridade hierarquicamente superior no âmbito do órgão contratante.</w:t>
      </w:r>
    </w:p>
    <w:p w:rsidR="00DA0598" w:rsidRPr="004B6C72" w:rsidRDefault="00DA0598" w:rsidP="00ED022A">
      <w:pPr>
        <w:pStyle w:val="xwestern"/>
        <w:numPr>
          <w:ilvl w:val="2"/>
          <w:numId w:val="6"/>
        </w:numPr>
        <w:shd w:val="clear" w:color="auto" w:fill="FFFFFF" w:themeFill="background1"/>
        <w:spacing w:before="119" w:beforeAutospacing="0" w:after="119" w:afterAutospacing="0" w:line="276" w:lineRule="auto"/>
        <w:jc w:val="both"/>
        <w:rPr>
          <w:rFonts w:asciiTheme="minorHAnsi" w:eastAsia="Calibri" w:hAnsiTheme="minorHAnsi" w:cs="Calibri"/>
          <w:sz w:val="20"/>
          <w:szCs w:val="20"/>
          <w:lang w:eastAsia="en-US"/>
        </w:rPr>
      </w:pPr>
      <w:r w:rsidRPr="004B6C72">
        <w:rPr>
          <w:rFonts w:asciiTheme="minorHAnsi" w:eastAsia="Calibri" w:hAnsiTheme="minorHAnsi" w:cs="Calibri"/>
          <w:sz w:val="20"/>
          <w:szCs w:val="20"/>
          <w:lang w:eastAsia="en-US"/>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DA0598" w:rsidRPr="004B6C72" w:rsidRDefault="00DA0598" w:rsidP="00DA0598">
      <w:pPr>
        <w:numPr>
          <w:ilvl w:val="1"/>
          <w:numId w:val="1"/>
        </w:numPr>
        <w:spacing w:before="120" w:after="120" w:line="276" w:lineRule="auto"/>
        <w:ind w:left="425" w:firstLine="0"/>
        <w:jc w:val="both"/>
        <w:rPr>
          <w:rFonts w:eastAsia="Calibri" w:cs="Calibri"/>
          <w:sz w:val="20"/>
          <w:szCs w:val="20"/>
        </w:rPr>
      </w:pPr>
      <w:r w:rsidRPr="004B6C72">
        <w:rPr>
          <w:rFonts w:eastAsia="Calibri" w:cs="Calibri"/>
          <w:sz w:val="20"/>
          <w:szCs w:val="20"/>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rsidR="00DA0598" w:rsidRPr="004B6C72" w:rsidRDefault="00DA0598" w:rsidP="00DA0598">
      <w:pPr>
        <w:numPr>
          <w:ilvl w:val="1"/>
          <w:numId w:val="1"/>
        </w:numPr>
        <w:spacing w:before="120" w:after="120" w:line="276" w:lineRule="auto"/>
        <w:ind w:left="425" w:firstLine="0"/>
        <w:jc w:val="both"/>
        <w:rPr>
          <w:rFonts w:eastAsia="Calibri" w:cs="Calibri"/>
          <w:sz w:val="20"/>
          <w:szCs w:val="20"/>
        </w:rPr>
      </w:pPr>
      <w:r w:rsidRPr="004B6C72">
        <w:rPr>
          <w:rFonts w:eastAsia="Calibri" w:cs="Calibri"/>
          <w:sz w:val="20"/>
          <w:szCs w:val="20"/>
        </w:rPr>
        <w:t xml:space="preserve">Como condição para participação no Pregão, o licitante assinalará “sim” ou “não” em campo próprio do sistema eletrônico, relativo às seguintes declarações: </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que cumpre os requisitos estabelecidos no artigo 3° da Lei Complementar nº 123, de 2006, estando apto a usufruir do tratamento favorecido estabelecido em seus arts. 42 a 49.</w:t>
      </w:r>
    </w:p>
    <w:p w:rsidR="00DA0598" w:rsidRPr="004B6C72" w:rsidRDefault="00DA0598" w:rsidP="00DA0598">
      <w:pPr>
        <w:pStyle w:val="PargrafodaLista"/>
        <w:numPr>
          <w:ilvl w:val="3"/>
          <w:numId w:val="1"/>
        </w:numPr>
        <w:tabs>
          <w:tab w:val="clear" w:pos="2160"/>
          <w:tab w:val="left" w:pos="1440"/>
        </w:tabs>
        <w:autoSpaceDE w:val="0"/>
        <w:snapToGrid w:val="0"/>
        <w:spacing w:before="120" w:after="120" w:line="276" w:lineRule="auto"/>
        <w:ind w:left="0" w:firstLine="0"/>
        <w:jc w:val="both"/>
        <w:rPr>
          <w:rFonts w:eastAsia="Calibri" w:cs="Calibri"/>
          <w:sz w:val="20"/>
          <w:szCs w:val="20"/>
        </w:rPr>
      </w:pPr>
      <w:r w:rsidRPr="004B6C72">
        <w:rPr>
          <w:rFonts w:eastAsia="Calibri" w:cs="Calibri"/>
          <w:sz w:val="20"/>
          <w:szCs w:val="20"/>
        </w:rPr>
        <w:t>nos itens exclusivos para participação de microempresas e empresas de pequeno porte, a assinalação do campo “não” impedirá o prosseguimento no certame;</w:t>
      </w:r>
    </w:p>
    <w:p w:rsidR="00DA0598" w:rsidRPr="004B6C72" w:rsidRDefault="00DA0598" w:rsidP="00DA0598">
      <w:pPr>
        <w:pStyle w:val="PargrafodaLista"/>
        <w:numPr>
          <w:ilvl w:val="3"/>
          <w:numId w:val="1"/>
        </w:numPr>
        <w:tabs>
          <w:tab w:val="clear" w:pos="2160"/>
          <w:tab w:val="num" w:pos="851"/>
          <w:tab w:val="left" w:pos="1440"/>
          <w:tab w:val="left" w:pos="2410"/>
        </w:tabs>
        <w:autoSpaceDE w:val="0"/>
        <w:snapToGrid w:val="0"/>
        <w:spacing w:before="120" w:after="120" w:line="276" w:lineRule="auto"/>
        <w:ind w:left="851" w:hanging="851"/>
        <w:jc w:val="both"/>
        <w:rPr>
          <w:rFonts w:eastAsia="Calibri" w:cs="Calibri"/>
          <w:sz w:val="20"/>
          <w:szCs w:val="20"/>
        </w:rPr>
      </w:pPr>
      <w:r w:rsidRPr="004B6C72">
        <w:rPr>
          <w:rFonts w:eastAsia="Calibri" w:cs="Calibri"/>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que está ciente e concorda com as condições contidas no Edital e seus anexos, bem como de que cumpre plenamente os requisitos de habilitação definidos no Edital;</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que inexistem fatos impeditivos para sua habilitação no certame, ciente da obrigatoriedade de declarar ocorrências posteriores; </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que não emprega menor de 18 anos em trabalho noturno, perigoso ou insalubre e não emprega menor de 16 anos, salvo menor, a partir de 14 anos, na condição de aprendiz, nos termos do artigo 7°, XXXIII, da Constituição;</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que a proposta foi elaborada de forma independente, nos termos da Instrução Normativa SLTI/MP nº 2, de 16 de setembro de 2009.</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que não possui, em sua cadeia produtiva, empregados executando trabalho degradante ou forçado, observando o disposto nos incisos III e IV do art. 1º e no inciso III do art. 5º da Constituição Federal;</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DA0598" w:rsidRPr="004B6C72" w:rsidRDefault="00DA0598" w:rsidP="00DA0598">
      <w:pPr>
        <w:numPr>
          <w:ilvl w:val="1"/>
          <w:numId w:val="1"/>
        </w:numPr>
        <w:spacing w:before="120" w:after="120" w:line="276" w:lineRule="auto"/>
        <w:ind w:left="425" w:firstLine="0"/>
        <w:jc w:val="both"/>
        <w:rPr>
          <w:rFonts w:eastAsia="Calibri" w:cs="Calibri"/>
          <w:sz w:val="20"/>
          <w:szCs w:val="20"/>
        </w:rPr>
      </w:pPr>
      <w:r w:rsidRPr="004B6C72">
        <w:rPr>
          <w:rFonts w:eastAsia="Calibri" w:cs="Calibri"/>
          <w:sz w:val="20"/>
          <w:szCs w:val="20"/>
        </w:rPr>
        <w:t>A declaração falsa relativa ao cumprimento de qualquer condição sujeitará o licitante às sanções previstas em lei e neste Edital.</w:t>
      </w:r>
    </w:p>
    <w:p w:rsidR="00DA0598" w:rsidRPr="00DA0598" w:rsidRDefault="00DA0598" w:rsidP="00DA0598">
      <w:pPr>
        <w:pStyle w:val="PargrafodaLista"/>
        <w:spacing w:after="0" w:line="276" w:lineRule="auto"/>
        <w:ind w:left="2216"/>
        <w:rPr>
          <w:rFonts w:ascii="Arial" w:eastAsia="Zurich BT" w:hAnsi="Arial" w:cs="Arial"/>
          <w:color w:val="000000" w:themeColor="text1"/>
          <w:sz w:val="20"/>
          <w:szCs w:val="20"/>
          <w:lang w:eastAsia="pt-BR"/>
        </w:rPr>
      </w:pPr>
    </w:p>
    <w:p w:rsidR="00DA0598" w:rsidRPr="00DA0598" w:rsidRDefault="00DA0598"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DA0598">
        <w:rPr>
          <w:rFonts w:ascii="Arial" w:hAnsi="Arial" w:cs="Arial"/>
          <w:b/>
          <w:sz w:val="20"/>
          <w:szCs w:val="20"/>
        </w:rPr>
        <w:t>DO ENVIO DA PROPOSTA</w:t>
      </w:r>
    </w:p>
    <w:p w:rsidR="00DA0598" w:rsidRPr="00DA0598" w:rsidRDefault="00DA0598" w:rsidP="00DA0598">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licitante deverá encaminhar a proposta por meio do sistema eletrônico até a data e horário marcados para abertura da sessão, quando, então, encerrar-se-á automaticamente a fase de recebimento de propostas.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licitante será responsável por todas as transações que forem efetuadas em seu nome no sistema eletrônico, assumindo como firmes e verdadeiras suas propostas e lances.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Até a abertura da sessão, os licitantes poderão retirar ou substituir as propostas apresentadas.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licitante deverá enviar sua proposta mediante o preenchimento, no sistema eletrônico, dos seguintes campos: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Valor unitário anual do item licitado, conforme planilha de composição de custos;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Descrição do objeto, contendo as informações similares à especificação do Termo de Referência</w:t>
      </w:r>
      <w:r w:rsidR="00C46BA3">
        <w:rPr>
          <w:rFonts w:eastAsia="Calibri" w:cs="Calibri"/>
          <w:sz w:val="20"/>
          <w:szCs w:val="20"/>
        </w:rPr>
        <w:t>;</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Todas as especificações do objeto contidas na proposta vinculam a Contratada.</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proposta apresentada deverá contemplar o valor total dos custos da contratação, inclusive aqueles estimados para as ocorrências de fatos geradores.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empresa é a única responsável pela cotação correta dos encargos tributários. Em caso de erro ou cotação incompatível com o regime tributário a que se submete, serão adotadas as orientações a seguir:</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cotação de percentual menor que o adequado: o percentual será mantido durante toda a execução contratual;</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cotação de percentual maior que o adequado: o excesso será suprimido, unilateralmente, da planilha e haverá glosa, quando do pagamento, e/ou redução, quando da repactuação, para fins de total ressarcimento do débito.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Independentemente do percentual de tributo inserido na planilha, no pagamento dos serviços, serão retidos na fonte os percentuais estabelecidos na legislação vigente.</w:t>
      </w:r>
    </w:p>
    <w:p w:rsidR="00DA0598" w:rsidRPr="004B6C72" w:rsidRDefault="00DA0598" w:rsidP="004B6C72">
      <w:pPr>
        <w:spacing w:after="0"/>
        <w:jc w:val="both"/>
        <w:rPr>
          <w:rFonts w:eastAsia="Calibri" w:cs="Calibri"/>
          <w:sz w:val="20"/>
          <w:szCs w:val="20"/>
        </w:rPr>
      </w:pP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bCs/>
        </w:rPr>
        <w:t xml:space="preserve">Na presente licitação, a Microempresa e a Empresa de Pequeno Porte poderão se beneficiar do regime de tributação pelo Simples Nacional, nos termos do art. 18, § 5º-C, inciso VI, c/c § 5º-H, da Lei Complementar nº 123/2006.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prazo de validade da proposta não será inferior a 60 (sessenta) dias, a contar da data de sua apresentação.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devem respeitar os preços máximos estabelecidos nas normas de regência de contratações públicas federais, quando participarem de licitações públicas (Acórdão nº 1455/2018 -TCU - Plenário);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DA0598" w:rsidRDefault="00DA0598" w:rsidP="00DA0598">
      <w:pPr>
        <w:keepNext/>
        <w:keepLines/>
        <w:pBdr>
          <w:top w:val="nil"/>
          <w:left w:val="nil"/>
          <w:bottom w:val="nil"/>
          <w:right w:val="nil"/>
          <w:between w:val="nil"/>
        </w:pBdr>
        <w:spacing w:before="120" w:after="120" w:line="276" w:lineRule="auto"/>
        <w:ind w:right="-15"/>
        <w:jc w:val="both"/>
        <w:rPr>
          <w:rFonts w:ascii="Verdana" w:hAnsi="Verdana"/>
          <w:b/>
          <w:sz w:val="18"/>
          <w:szCs w:val="18"/>
        </w:rPr>
      </w:pPr>
    </w:p>
    <w:p w:rsidR="002340B2" w:rsidRDefault="002340B2"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2340B2">
        <w:rPr>
          <w:rFonts w:ascii="Arial" w:hAnsi="Arial" w:cs="Arial"/>
          <w:b/>
          <w:sz w:val="20"/>
          <w:szCs w:val="20"/>
        </w:rPr>
        <w:t>DA FORMULAÇÃO DE LANCES E JULGAMENTO DAS PROPOSTAS</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abertura da presente licitação dar-se-á em sessão pública, por meio de sistema eletrônico, na data, horário e local indicados neste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Também será desclassificada a proposta que identifique o licitante.</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desclassificação será sempre fundamentada e registrada no sistema, com acompanhamento em tempo real por todos os participantes.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não desclassificação da proposta não impede o seu julgamento definitivo em sentido contrário, levado a efeito na fase de aceitação.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sistema ordenará automaticamente as propostas classificadas, sendo que somente estas participarão da fase de lances.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O sistema disponibilizará campo próprio para troca de mensagens entre o Pregoeiro e os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Iniciada a etapa competitiva, os licitantes deverão encaminhar lances exclusivamente por meio de sistema eletrônico, sendo imediatamente informados do seu recebimento e do valor consignado no registro.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lance deverá ser ofertado pelo valor anual do item.</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poderão oferecer lances sucessivos, observando o horário fixado para abertura da sessão e as regras estabelecidas no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licitante somente poderá oferecer lance inferior ao último por ele ofertado e registrado pelo sistema. </w:t>
      </w:r>
      <w:r w:rsidRPr="004B6C72">
        <w:rPr>
          <w:rFonts w:eastAsia="Calibri" w:cs="Calibri"/>
          <w:sz w:val="20"/>
          <w:szCs w:val="20"/>
        </w:rPr>
        <w:tab/>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Em caso de falha no sistema, os lances em desacordo com os subitens anteriores deverão ser desconsiderados pelo pregoeiro, devendo a ocorrência ser comunicada imediatamente à Secretaria de Gestão do Ministério do Planejamento, Desenvolvimento e Gestão;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Na hipótese do subitem anterior, a ocorrência será registrada em campo próprio do sistema.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Não serão aceitos dois ou mais lances de mesmo valor, prevalecendo aquele que for recebido e registrado em primeiro lugar.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Durante o transcurso da sessão pública, os licitantes serão informados, em tempo real, do valor do menor lance registrado, vedada a identificação do licitante.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No caso de desconexão com o Pregoeiro, no decorrer da etapa competitiva do Pregão, o sistema eletrônico poderá permanecer acessível aos licitantes para a recepção dos lances.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Se a desconexão perdurar por tempo superior a 10 (dez) minutos, a sessão será suspensa e terá reinício somente após comunicação expressa do Pregoeiro aos participantes.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Critério de julgamento adotado será o menor preço, conforme definido neste Edital e seus anexos.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o licitante não apresente lances, concorrerá com o valor de sua proposta e, na hipótese de desistência de apresentar outros lances, valerá o último lance por ele ofertado, para efeito de ordenação das propostas.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w:t>
      </w:r>
      <w:r w:rsidRPr="004B6C72">
        <w:rPr>
          <w:rFonts w:eastAsia="Calibri" w:cs="Calibri"/>
          <w:sz w:val="20"/>
          <w:szCs w:val="20"/>
        </w:rPr>
        <w:lastRenderedPageBreak/>
        <w:t>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Nessas condições, as propostas de microempresas e empresas de pequeno porte que se encontrarem na faixa de até 5% (cinco por cento) acima da proposta ou lance de menor preço serão consideradas empatadas com a primeira colocada.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Só se considera empate entre propostas iguais, não seguidas de lances. Lances equivalentes não serão considerados iguais, uma vez que a ordem de apresentação pelos licitantes é utilizada como um dos critérios de classificação.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Havendo eventual empate entre propostas, o critério de desempate será aquele previsto no art. 3º, § 2º, da Lei nº 8.666, de 1993, assegurando-se a preferência, sucessivamente, aos serviços: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prestados por empresas brasileiras;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prestados por empresas que invistam em pesquisa e no desenvolvimento de tecnologia no País;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prestados por empresas que comprovem cumprimento de reserva de cargos prevista em lei para pessoa com deficiência ou para reabilitado da Previdência Social e que atendam às regras de acessibilidade previstas na legislação.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Persistindo o empate entre propostas, será aplicado o sorteio como critério de desempate.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negociação será realizada por meio do sistema, podendo ser acompanhada pelos demais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Após a negociação do preço, o Pregoeiro iniciará a fase de aceitação e julgamento da proposta.</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Default="002340B2"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2340B2">
        <w:rPr>
          <w:rFonts w:ascii="Arial" w:hAnsi="Arial" w:cs="Arial"/>
          <w:b/>
          <w:sz w:val="20"/>
          <w:szCs w:val="20"/>
        </w:rPr>
        <w:t>DA ACEITABILIDADE DA PROPOSTA VENCEDORA</w:t>
      </w:r>
    </w:p>
    <w:p w:rsid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Encerrada a etapa de lances e depois da verificação de possível empate, o Pregoeiro examinará a proposta classificada em primeiro lugar quanto ao preço, a sua exequibilidade, bem como quanto ao cumprimento das especificações do objeto.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análise da exequibilidade da proposta de preços deverá ser realizada com o auxílio da Planilha de Custos e Formação de Preços, a ser preenchida pelo licitante em relação à sua proposta final, conforme anexo deste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Planilha de Custos e Formação de Preços deverá ser entregue pelo licitante e analisada pelo Pregoeiro no momento da aceitação do lance vencedor.</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Será desclassificada a proposta ou o lance vencedor, nos termos do item 9.1 do Anexo VII-A da IN SEGES/MP n. 5/2017, que: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contenha vício insanável ou ilegalidade;</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não apresente as especificações técnicas exigidas pelo Termo de Referência;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apresentar preço final superior ao preço máximo fixado, ou que apresentar preço manifestamente inexequível.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Quando o licitante não conseguir comprovar que possui ou possuirá recursos suficientes para executar a contento o objeto, será considerada inexequível a proposta de preços ou menor lance que:</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w:t>
      </w:r>
      <w:r w:rsidRPr="004B6C72">
        <w:rPr>
          <w:rFonts w:eastAsia="Calibri" w:cs="Calibri"/>
          <w:sz w:val="20"/>
          <w:szCs w:val="20"/>
        </w:rPr>
        <w:lastRenderedPageBreak/>
        <w:t>limites mínimos, exceto quando se referirem a materiais e instalações de propriedade do próprio licitante, para os quais ele renuncie a parcela ou à totalidade da remuneração.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 inexequibilidade dos valores referentes a itens isolados da Planilha de Custos e Formação de Preços não caracteriza motivo suficiente para a desclassificação da proposta, desde que não contrariem exigências legais.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Qualquer interessado poderá requerer que se realizem diligências para aferir a exequibilidade e a legalidade das propostas, devendo apresentar as provas ou os indícios que fundamentam a suspeita.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Pregoeiro poderá convocar o licitante para enviar documento digital, por meio de funcionalidade disponível no sistema, estabelecendo no “chat” prazo mínimo, sob pena de não aceitação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prazo estabelecido pelo Pregoeiro poderá ser prorrogado por solicitação escrita e justificada do licitante, formulada antes de findo o prazo estabelecido, e formalmente aceita pelo Pregoeiro.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Dentre os documentos passíveis de solicitação pelo Pregoeiro, destacam-se as planilhas de custo readequadas com o valor final ofertado.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Todos os dados informados pelo licitante em sua planilha deverão refletir com fidelidade os custos especificados e a margem de lucro pretendida.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Erros no preenchimento da planilha não constituem motivo para a desclassificação da proposta. A planilha poderá ser ajustada pelo licitante, no prazo indicado pelo Pregoeiro, desde que não haja majoração do preço proposto.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Considera-se erro no preenchimento da planilha a indicação de recolhimento de impostos e contribuições na forma do Simples Nacional, exceto para atividades de prestação de serviços previstas nos §§5º-B a 5º-E, do artigo 18, da LC 123, de 2006.</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Para fins de análise da proposta quanto ao cumprimento das especificações do objeto, poderá ser colhida a manifestação escrita do setor requisitante do serviço ou da área especializada no objeto.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Se a proposta ou lance vencedor for desclassificado, o Pregoeiro examinará a proposta ou lance subsequente, e, assim sucessivamente, na ordem de classificação.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Havendo necessidade, o Pregoeiro suspenderá a sessão, informando no “chat” a nova data e horário para a continuidade da mesma.</w:t>
      </w:r>
    </w:p>
    <w:p w:rsidR="006D0660"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8329C0" w:rsidRPr="00D211E1" w:rsidRDefault="008329C0" w:rsidP="00D211E1">
      <w:pPr>
        <w:keepNext/>
        <w:keepLines/>
        <w:numPr>
          <w:ilvl w:val="0"/>
          <w:numId w:val="1"/>
        </w:numPr>
        <w:pBdr>
          <w:top w:val="nil"/>
          <w:left w:val="nil"/>
          <w:bottom w:val="nil"/>
          <w:right w:val="nil"/>
          <w:between w:val="nil"/>
        </w:pBdr>
        <w:tabs>
          <w:tab w:val="clear" w:pos="360"/>
          <w:tab w:val="num" w:pos="284"/>
        </w:tabs>
        <w:spacing w:before="120" w:after="120" w:line="276" w:lineRule="auto"/>
        <w:ind w:right="-15"/>
        <w:jc w:val="both"/>
        <w:rPr>
          <w:rFonts w:ascii="Arial" w:hAnsi="Arial" w:cs="Arial"/>
          <w:b/>
          <w:sz w:val="20"/>
          <w:szCs w:val="20"/>
        </w:rPr>
      </w:pPr>
      <w:r w:rsidRPr="00D211E1">
        <w:rPr>
          <w:rFonts w:ascii="Arial" w:hAnsi="Arial" w:cs="Arial"/>
          <w:b/>
          <w:sz w:val="20"/>
          <w:szCs w:val="20"/>
        </w:rPr>
        <w:t xml:space="preserve">DA </w:t>
      </w:r>
      <w:r w:rsidR="00297966" w:rsidRPr="00D211E1">
        <w:rPr>
          <w:rFonts w:ascii="Arial" w:hAnsi="Arial" w:cs="Arial"/>
          <w:b/>
          <w:sz w:val="20"/>
          <w:szCs w:val="20"/>
        </w:rPr>
        <w:t>HABILITAÇÃO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SICAF;</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Cadastro Nacional de Empresas Inidôneas e Suspensas – CEIS, mantido pela Controladoria-Geral da União (</w:t>
      </w:r>
      <w:hyperlink r:id="rId16" w:history="1">
        <w:r w:rsidRPr="004B6C72">
          <w:rPr>
            <w:rFonts w:eastAsia="Calibri" w:cs="Calibri"/>
          </w:rPr>
          <w:t>www.portaldatransparencia.gov.br/ceis</w:t>
        </w:r>
      </w:hyperlink>
      <w:r w:rsidRPr="004B6C72">
        <w:rPr>
          <w:rFonts w:eastAsia="Calibri" w:cs="Calibri"/>
          <w:sz w:val="20"/>
          <w:szCs w:val="20"/>
        </w:rPr>
        <w:t>);</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Cadastro Nacional de Condenações Cíveis por Atos de Improbidade Administrativa e Inelegibilidade, mantido pelo Conselho Nacional de Justiça (</w:t>
      </w:r>
      <w:hyperlink r:id="rId17" w:history="1">
        <w:r w:rsidRPr="004B6C72">
          <w:rPr>
            <w:rFonts w:eastAsia="Calibri" w:cs="Calibri"/>
          </w:rPr>
          <w:t>www.cnj.jus.br/improbidade_adm/consultar_requerido.php</w:t>
        </w:r>
      </w:hyperlink>
      <w:r w:rsidRPr="004B6C72">
        <w:rPr>
          <w:rFonts w:eastAsia="Calibri" w:cs="Calibri"/>
          <w:sz w:val="20"/>
          <w:szCs w:val="20"/>
        </w:rPr>
        <w:t>).</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Lista de Inidôneos e o Cadastro Integrado de Condenações por Ilícitos Administrativos - CADICON, mantidas pelo Tribunal de Contas da União – TCU;</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tentativa de burla será verificada por meio dos vínculos societários, linhas de fornecimento similares, dentre outros.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licitante será convocado para manifestação previamente à sua desclassificação.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Constatada a existência de sanção, o Pregoeiro reputará o licitante inabilitado, por falta de condição de participação.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hyperlink>
        <w:r w:rsidRPr="004B6C72">
          <w:rPr>
            <w:rFonts w:eastAsia="Calibri" w:cs="Calibri"/>
            <w:sz w:val="20"/>
          </w:rPr>
          <w:t>10, 11, 12, 13, 14, 15</w:t>
        </w:r>
      </w:hyperlink>
      <w:r w:rsidRPr="004B6C72">
        <w:rPr>
          <w:rFonts w:eastAsia="Calibri" w:cs="Calibri"/>
          <w:sz w:val="20"/>
          <w:szCs w:val="20"/>
        </w:rPr>
        <w:t> e 16 da Instrução Normativa SEGES/MP nº 03, de 2018.</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Também poderão ser consultados os sítios oficiais emissores de certidões, especialmente quando o licitante esteja com alguma documentação vencida junto ao SICAF.</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o Pregoeiro não logre êxito em obter a certidão correspondente por meio do sítio oficial, ou na hipótese de ela se encontrar vencida no referido sistema, o licitante será convocado a encaminhar, no prazo de 4 (quatro) horas, documento válido que comprove o atendimento das exigências deste Edital, sob pena de inabilitação.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As Microempresas e Empresas de Pequeno Porte deverão encaminhar a documentação de habilitação, ainda que haja alguma restrição de regularidade fiscal e trabalhista, nos termos do art. 43, § 1º da LC nº 123, de 2006.</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à Qualificação Econômico-Financeira, nas condições descritas adiante.</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color w:val="000000" w:themeColor="text1"/>
          <w:sz w:val="20"/>
          <w:szCs w:val="20"/>
        </w:rPr>
      </w:pPr>
      <w:r w:rsidRPr="00D211E1">
        <w:rPr>
          <w:rFonts w:ascii="Arial" w:hAnsi="Arial" w:cs="Arial"/>
          <w:bCs/>
          <w:color w:val="000000"/>
          <w:sz w:val="20"/>
          <w:szCs w:val="20"/>
        </w:rPr>
        <w:t xml:space="preserve"> </w:t>
      </w:r>
      <w:r w:rsidRPr="00D211E1">
        <w:rPr>
          <w:rFonts w:ascii="Arial" w:hAnsi="Arial" w:cs="Arial"/>
          <w:b/>
          <w:bCs/>
          <w:color w:val="000000"/>
          <w:sz w:val="20"/>
          <w:szCs w:val="20"/>
        </w:rPr>
        <w:t xml:space="preserve">Habilitação jurídica: </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no caso de empresário individual, inscrição no Registro Público de Empresas Mercantis, a cargo da Junta Comercial da respectiva sede;</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inscrição no Registro Público de Empresas Mercantis onde opera, com averbação no Registro onde tem sede a matriz, no caso de ser o participante sucursal, filial ou agência;</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No caso de sociedade simples: inscrição do ato constitutivo no Registro Civil das Pessoas Jurídicas do local de sua sede, acompanhada de prova da indicação dos seus administradores;</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lastRenderedPageBreak/>
        <w:t>decreto de autorização, em se tratando de sociedade empresária estrangeira em funcionamento no País;</w:t>
      </w:r>
    </w:p>
    <w:p w:rsidR="00297966" w:rsidRP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Os documentos acima deverão estar acompanhados de todas as alterações ou da consolidação respectiva.</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color w:val="000000"/>
          <w:sz w:val="20"/>
          <w:szCs w:val="20"/>
        </w:rPr>
      </w:pPr>
      <w:r w:rsidRPr="00D211E1">
        <w:rPr>
          <w:rFonts w:ascii="Arial" w:hAnsi="Arial" w:cs="Arial"/>
          <w:b/>
          <w:bCs/>
          <w:color w:val="000000"/>
          <w:sz w:val="20"/>
          <w:szCs w:val="20"/>
        </w:rPr>
        <w:t>Regularidade fiscal e trabalhista:</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prova de inscrição no Cadastro Nacional de Pessoas Jurídicas;</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prova de regularidade com o Fundo de Garantia do Tempo de Serviço (FGTS);</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prova de inscrição no cadastro de contribuintes municipal, relativo ao domicílio ou sede do licitante, pertinente ao seu ramo de atividade e compatível com o objeto contratual; </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prova de regularidade com a Fazenda Municipal do domicílio ou sede do licitante, relativa à atividade em cujo exercício contrata ou concorre; </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iCs/>
          <w:color w:val="000000"/>
          <w:sz w:val="20"/>
          <w:szCs w:val="20"/>
        </w:rPr>
      </w:pPr>
      <w:r w:rsidRPr="00D211E1">
        <w:rPr>
          <w:rFonts w:ascii="Arial" w:hAnsi="Arial" w:cs="Arial"/>
          <w:b/>
          <w:color w:val="000000"/>
          <w:sz w:val="20"/>
          <w:szCs w:val="20"/>
        </w:rPr>
        <w:t>Qualificação Econômico-Financeira:</w:t>
      </w:r>
      <w:r w:rsidRPr="00D211E1">
        <w:rPr>
          <w:rFonts w:ascii="Arial" w:hAnsi="Arial" w:cs="Arial"/>
          <w:b/>
          <w:bCs/>
          <w:iCs/>
          <w:color w:val="000000"/>
          <w:sz w:val="20"/>
          <w:szCs w:val="20"/>
        </w:rPr>
        <w:t xml:space="preserve"> </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certidão negativa de falência, recuperação judicial ou recuperação extrajudicial expedida pelo distribuidor da sede do licitante;</w:t>
      </w:r>
      <w:bookmarkStart w:id="4" w:name="_Ref532534462"/>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4"/>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no caso de empresa constituída no exercício social vigente, admite-se a apresentação de balanço patrimonial e demonstrações contábeis referentes ao período de existência da sociedade;</w:t>
      </w:r>
    </w:p>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é admissível o balanço intermediário, se decorrer de lei ou contrato/estatuto social.</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297966" w:rsidRPr="004B6C72" w:rsidTr="00297966">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LG =</w:t>
            </w:r>
          </w:p>
        </w:tc>
        <w:tc>
          <w:tcPr>
            <w:tcW w:w="4252"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Ativo Circulante + Realizável a Longo Prazo</w:t>
            </w:r>
          </w:p>
        </w:tc>
      </w:tr>
      <w:tr w:rsidR="00297966" w:rsidRPr="004B6C72" w:rsidTr="00297966">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4252" w:type="dxa"/>
            <w:tcBorders>
              <w:top w:val="single" w:sz="4" w:space="0" w:color="auto"/>
              <w:left w:val="nil"/>
              <w:bottom w:val="nil"/>
              <w:right w:val="nil"/>
            </w:tcBorders>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Passivo Circulante + Passivo Não Circulante</w:t>
            </w:r>
          </w:p>
        </w:tc>
      </w:tr>
    </w:tbl>
    <w:p w:rsidR="00297966" w:rsidRPr="004B6C72" w:rsidRDefault="00297966" w:rsidP="004B6C72">
      <w:pPr>
        <w:tabs>
          <w:tab w:val="left" w:pos="1440"/>
        </w:tabs>
        <w:autoSpaceDE w:val="0"/>
        <w:snapToGrid w:val="0"/>
        <w:spacing w:before="120" w:after="120" w:line="276" w:lineRule="auto"/>
        <w:ind w:left="360"/>
        <w:jc w:val="both"/>
        <w:rPr>
          <w:rFonts w:eastAsia="Calibri" w:cs="Calibri"/>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297966" w:rsidRPr="004B6C72" w:rsidTr="00297966">
        <w:trPr>
          <w:cantSplit/>
        </w:trPr>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lastRenderedPageBreak/>
              <w:t>SG =</w:t>
            </w:r>
          </w:p>
        </w:tc>
        <w:tc>
          <w:tcPr>
            <w:tcW w:w="4394"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Ativo Total</w:t>
            </w:r>
          </w:p>
        </w:tc>
      </w:tr>
      <w:tr w:rsidR="00297966" w:rsidRPr="004B6C72" w:rsidTr="00297966">
        <w:trPr>
          <w:cantSplit/>
        </w:trPr>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4394" w:type="dxa"/>
            <w:tcBorders>
              <w:top w:val="single" w:sz="4" w:space="0" w:color="auto"/>
              <w:left w:val="nil"/>
              <w:bottom w:val="nil"/>
              <w:right w:val="nil"/>
            </w:tcBorders>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Passivo Circulante + Passivo Não Circulante</w:t>
            </w:r>
          </w:p>
        </w:tc>
      </w:tr>
    </w:tbl>
    <w:p w:rsidR="00297966" w:rsidRPr="004B6C72" w:rsidRDefault="00297966" w:rsidP="004B6C72">
      <w:pPr>
        <w:tabs>
          <w:tab w:val="left" w:pos="1440"/>
        </w:tabs>
        <w:autoSpaceDE w:val="0"/>
        <w:snapToGrid w:val="0"/>
        <w:spacing w:before="120" w:after="120" w:line="276" w:lineRule="auto"/>
        <w:ind w:left="360"/>
        <w:jc w:val="both"/>
        <w:rPr>
          <w:rFonts w:eastAsia="Calibri" w:cs="Calibri"/>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97966" w:rsidRPr="004B6C72" w:rsidTr="00297966">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LC =</w:t>
            </w:r>
          </w:p>
        </w:tc>
        <w:tc>
          <w:tcPr>
            <w:tcW w:w="2551"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Ativo Circulante</w:t>
            </w:r>
          </w:p>
        </w:tc>
      </w:tr>
      <w:tr w:rsidR="00297966" w:rsidRPr="004B6C72" w:rsidTr="00297966">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2551" w:type="dxa"/>
            <w:tcBorders>
              <w:top w:val="single" w:sz="4" w:space="0" w:color="auto"/>
              <w:left w:val="nil"/>
              <w:bottom w:val="nil"/>
              <w:right w:val="nil"/>
            </w:tcBorders>
            <w:hideMark/>
          </w:tcPr>
          <w:p w:rsidR="00297966" w:rsidRPr="004B6C72" w:rsidRDefault="004B6C72" w:rsidP="004B6C72">
            <w:pPr>
              <w:tabs>
                <w:tab w:val="left" w:pos="1440"/>
              </w:tabs>
              <w:autoSpaceDE w:val="0"/>
              <w:snapToGrid w:val="0"/>
              <w:spacing w:before="120" w:after="120" w:line="276" w:lineRule="auto"/>
              <w:ind w:left="360"/>
              <w:jc w:val="both"/>
              <w:rPr>
                <w:rFonts w:asciiTheme="minorHAnsi" w:eastAsia="Calibri" w:hAnsiTheme="minorHAnsi" w:cs="Calibri"/>
              </w:rPr>
            </w:pPr>
            <w:r>
              <w:rPr>
                <w:rFonts w:asciiTheme="minorHAnsi" w:eastAsia="Calibri" w:hAnsiTheme="minorHAnsi" w:cs="Calibri"/>
              </w:rPr>
              <w:t>/</w:t>
            </w:r>
            <w:r w:rsidR="00297966" w:rsidRPr="004B6C72">
              <w:rPr>
                <w:rFonts w:asciiTheme="minorHAnsi" w:eastAsia="Calibri" w:hAnsiTheme="minorHAnsi" w:cs="Calibri"/>
              </w:rPr>
              <w:t>Passivo Circulante</w:t>
            </w:r>
          </w:p>
        </w:tc>
      </w:tr>
    </w:tbl>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As  empresas,  cadastradas  ou  não  no  SICAF,  que  apresentarem  resultado inferior ou igual a 1(um) em qualquer dos índices de Liquidez Geral (LG), Solvência Geral (SG) e Liquidez Corrente (LC), deverão comprovar patrimônio líquido de 10%(dez por cento) do valor total estimado da contratação ou do item pertinente.</w:t>
      </w:r>
    </w:p>
    <w:p w:rsidR="00713914" w:rsidRPr="00D211E1" w:rsidRDefault="00713914" w:rsidP="00713914">
      <w:pPr>
        <w:spacing w:before="120" w:after="120" w:line="276" w:lineRule="auto"/>
        <w:ind w:left="360"/>
        <w:contextualSpacing/>
        <w:jc w:val="both"/>
        <w:rPr>
          <w:rFonts w:ascii="Arial" w:hAnsi="Arial" w:cs="Arial"/>
          <w:bCs/>
          <w:sz w:val="20"/>
          <w:szCs w:val="20"/>
        </w:rPr>
      </w:pPr>
    </w:p>
    <w:p w:rsidR="00297966" w:rsidRPr="00713914" w:rsidRDefault="00297966" w:rsidP="00D211E1">
      <w:pPr>
        <w:numPr>
          <w:ilvl w:val="1"/>
          <w:numId w:val="1"/>
        </w:numPr>
        <w:tabs>
          <w:tab w:val="num" w:pos="284"/>
        </w:tabs>
        <w:spacing w:before="120" w:after="120" w:line="276" w:lineRule="auto"/>
        <w:ind w:left="360"/>
        <w:jc w:val="both"/>
        <w:rPr>
          <w:rFonts w:ascii="Arial" w:hAnsi="Arial" w:cs="Arial"/>
          <w:b/>
          <w:bCs/>
          <w:iCs/>
          <w:color w:val="000000"/>
          <w:sz w:val="20"/>
          <w:szCs w:val="20"/>
        </w:rPr>
      </w:pPr>
      <w:r w:rsidRPr="00D211E1">
        <w:rPr>
          <w:rFonts w:ascii="Arial" w:hAnsi="Arial" w:cs="Arial"/>
          <w:b/>
          <w:bCs/>
          <w:iCs/>
          <w:color w:val="000000"/>
          <w:sz w:val="20"/>
          <w:szCs w:val="20"/>
        </w:rPr>
        <w:t xml:space="preserve">Qualificação Técnica: </w:t>
      </w:r>
    </w:p>
    <w:p w:rsidR="00A17E37"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r w:rsidRPr="004B6C72">
        <w:rPr>
          <w:rFonts w:eastAsia="Calibri" w:cs="Calibri"/>
          <w:sz w:val="20"/>
          <w:szCs w:val="20"/>
        </w:rPr>
        <w:t>As empresas, cadastradas ou não no SICAF, relativamente ao(s) item(ns)</w:t>
      </w:r>
      <w:r w:rsidR="00D211E1" w:rsidRPr="004B6C72">
        <w:rPr>
          <w:rFonts w:eastAsia="Calibri" w:cs="Calibri"/>
          <w:sz w:val="20"/>
          <w:szCs w:val="20"/>
        </w:rPr>
        <w:t xml:space="preserve"> para </w:t>
      </w:r>
      <w:r w:rsidR="00A17E37" w:rsidRPr="004B6C72">
        <w:rPr>
          <w:rFonts w:eastAsia="Calibri" w:cs="Calibri"/>
          <w:sz w:val="20"/>
          <w:szCs w:val="20"/>
        </w:rPr>
        <w:t>os s</w:t>
      </w:r>
      <w:r w:rsidR="00D211E1" w:rsidRPr="004B6C72">
        <w:rPr>
          <w:rFonts w:eastAsia="Calibri" w:cs="Calibri"/>
          <w:sz w:val="20"/>
          <w:szCs w:val="20"/>
        </w:rPr>
        <w:t>erviço</w:t>
      </w:r>
      <w:r w:rsidR="00A17E37" w:rsidRPr="004B6C72">
        <w:rPr>
          <w:rFonts w:eastAsia="Calibri" w:cs="Calibri"/>
          <w:sz w:val="20"/>
          <w:szCs w:val="20"/>
        </w:rPr>
        <w:t>s</w:t>
      </w:r>
      <w:r w:rsidR="00D211E1" w:rsidRPr="004B6C72">
        <w:rPr>
          <w:rFonts w:eastAsia="Calibri" w:cs="Calibri"/>
          <w:sz w:val="20"/>
          <w:szCs w:val="20"/>
        </w:rPr>
        <w:t xml:space="preserve"> </w:t>
      </w:r>
      <w:r w:rsidRPr="004B6C72">
        <w:rPr>
          <w:rFonts w:eastAsia="Calibri" w:cs="Calibri"/>
          <w:sz w:val="20"/>
          <w:szCs w:val="20"/>
        </w:rPr>
        <w:t>deverão comprovar, ainda, a qualificação técnica, por meio de:</w:t>
      </w:r>
    </w:p>
    <w:p w:rsidR="00A17E37" w:rsidRPr="00A17E37" w:rsidRDefault="00A17E37" w:rsidP="0030430F">
      <w:pPr>
        <w:numPr>
          <w:ilvl w:val="2"/>
          <w:numId w:val="1"/>
        </w:numPr>
        <w:tabs>
          <w:tab w:val="num" w:pos="284"/>
          <w:tab w:val="left" w:pos="1440"/>
        </w:tabs>
        <w:autoSpaceDE w:val="0"/>
        <w:snapToGrid w:val="0"/>
        <w:spacing w:before="120" w:after="120" w:line="276" w:lineRule="auto"/>
        <w:ind w:left="360"/>
        <w:jc w:val="both"/>
        <w:rPr>
          <w:rFonts w:ascii="Arial" w:hAnsi="Arial" w:cs="Arial"/>
          <w:sz w:val="20"/>
          <w:szCs w:val="20"/>
        </w:rPr>
      </w:pPr>
      <w:r w:rsidRPr="004B6C72">
        <w:rPr>
          <w:rFonts w:eastAsia="Calibri" w:cs="Calibri"/>
          <w:sz w:val="20"/>
          <w:szCs w:val="20"/>
        </w:rPr>
        <w:t xml:space="preserve">A empresa deve ser especializada no ramo prestação de serviço </w:t>
      </w:r>
      <w:r w:rsidR="0030430F">
        <w:rPr>
          <w:rFonts w:eastAsia="Calibri" w:cs="Calibri"/>
          <w:sz w:val="20"/>
          <w:szCs w:val="20"/>
        </w:rPr>
        <w:t>de telefonia fixa comutada – STFC,</w:t>
      </w:r>
      <w:r w:rsidR="00EF3AD7">
        <w:rPr>
          <w:rFonts w:eastAsia="Calibri" w:cs="Calibri"/>
          <w:sz w:val="20"/>
          <w:szCs w:val="20"/>
        </w:rPr>
        <w:t xml:space="preserve"> </w:t>
      </w:r>
      <w:r w:rsidRPr="004B6C72">
        <w:rPr>
          <w:rFonts w:eastAsia="Calibri" w:cs="Calibri"/>
          <w:sz w:val="20"/>
          <w:szCs w:val="20"/>
        </w:rPr>
        <w:t xml:space="preserve">devendo ter um responsável técnico devidamente habilitado para o exercício das funções relativas às atividades </w:t>
      </w:r>
    </w:p>
    <w:p w:rsidR="00A17E37" w:rsidRPr="00EF3AD7" w:rsidRDefault="00A17E37" w:rsidP="00EF3AD7">
      <w:pPr>
        <w:pStyle w:val="PargrafodaLista"/>
        <w:numPr>
          <w:ilvl w:val="2"/>
          <w:numId w:val="1"/>
        </w:numPr>
        <w:tabs>
          <w:tab w:val="clear" w:pos="1648"/>
          <w:tab w:val="num" w:pos="0"/>
          <w:tab w:val="num" w:pos="284"/>
          <w:tab w:val="left" w:pos="851"/>
        </w:tabs>
        <w:spacing w:before="120" w:after="120" w:line="276" w:lineRule="auto"/>
        <w:ind w:left="567"/>
        <w:jc w:val="both"/>
        <w:rPr>
          <w:rFonts w:eastAsia="Calibri" w:cs="Calibri"/>
          <w:sz w:val="20"/>
          <w:szCs w:val="20"/>
        </w:rPr>
      </w:pPr>
      <w:r w:rsidRPr="00EF3AD7">
        <w:rPr>
          <w:rFonts w:eastAsia="Calibri" w:cs="Calibri"/>
          <w:sz w:val="20"/>
          <w:szCs w:val="20"/>
        </w:rPr>
        <w:t>A empresa deverá apresentar na fase de habilitação:</w:t>
      </w:r>
    </w:p>
    <w:p w:rsidR="00F776F5" w:rsidRPr="00F776F5" w:rsidRDefault="00A17E37"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rPr>
        <w:t>Atestado (s) de Capacidade Técnico-operacional da empresa que comprove (m) a prestação do serviço similar anteriormente, emitido (s) por órgão da Administração Pública em Geral ou Empresa Privada, devendo constar do (s) atestado (s) emitido (s) pelas pessoas jurídicas de direito privado o nome completo do signatário, o número do CNPJ, estando às informações ali contidas sujeitas à verificação de sua veracidade por parte do pregoeiro e equipe de apoio;</w:t>
      </w:r>
    </w:p>
    <w:p w:rsidR="00F776F5" w:rsidRPr="00F776F5" w:rsidRDefault="00297966"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bookmarkStart w:id="5" w:name="_Hlk518983267"/>
    </w:p>
    <w:bookmarkEnd w:id="5"/>
    <w:p w:rsidR="00F776F5" w:rsidRPr="00F776F5" w:rsidRDefault="00E26FAE"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rPr>
        <w:t xml:space="preserve">A declaração pelo licitante em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 constará na proposta, conforme modelo do ANEXO </w:t>
      </w:r>
      <w:r w:rsidR="0032311A">
        <w:rPr>
          <w:rFonts w:eastAsia="Calibri" w:cs="Calibri"/>
        </w:rPr>
        <w:t>III</w:t>
      </w:r>
      <w:r w:rsidRPr="00F776F5">
        <w:rPr>
          <w:rFonts w:eastAsia="Calibri" w:cs="Calibri"/>
        </w:rPr>
        <w:t xml:space="preserve"> do Edital.</w:t>
      </w:r>
    </w:p>
    <w:p w:rsidR="00F776F5" w:rsidRPr="00F776F5" w:rsidRDefault="00E26FAE"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rPr>
        <w:t xml:space="preserve">Os documentos exigidos para habilitação relacionados nos subitens acima, deverão ser apresentados em meio digital pelos licitantes, por meio de funcionalidade presente no sistema (upload), no prazo mínimo de 2 (duas) horas, ou conforme orientação do Pregoeiro no sistema eletrônico.  Somente mediante autorização do Pregoeiro e em caso de indisponibilidade do sistema, será aceito o envio da documentação do e-mail </w:t>
      </w:r>
      <w:hyperlink r:id="rId18" w:history="1">
        <w:r w:rsidRPr="00F776F5">
          <w:rPr>
            <w:rFonts w:eastAsia="Calibri" w:cs="Calibri"/>
          </w:rPr>
          <w:t>cpl@id.uff.br</w:t>
        </w:r>
      </w:hyperlink>
      <w:r w:rsidRPr="00F776F5">
        <w:rPr>
          <w:rFonts w:eastAsia="Calibri" w:cs="Calibri"/>
        </w:rPr>
        <w:t xml:space="preserve">. </w:t>
      </w:r>
    </w:p>
    <w:p w:rsidR="00297966" w:rsidRPr="00F776F5" w:rsidRDefault="00297966" w:rsidP="00F776F5">
      <w:pPr>
        <w:pStyle w:val="PargrafodaLista"/>
        <w:numPr>
          <w:ilvl w:val="3"/>
          <w:numId w:val="1"/>
        </w:numPr>
        <w:tabs>
          <w:tab w:val="num" w:pos="0"/>
          <w:tab w:val="left" w:pos="851"/>
        </w:tabs>
        <w:spacing w:before="120" w:after="120" w:line="276" w:lineRule="auto"/>
        <w:ind w:left="567"/>
        <w:contextualSpacing w:val="0"/>
        <w:jc w:val="both"/>
        <w:rPr>
          <w:rFonts w:eastAsia="Calibri" w:cs="Calibri"/>
          <w:sz w:val="20"/>
          <w:szCs w:val="20"/>
        </w:rPr>
      </w:pPr>
      <w:r w:rsidRPr="00F776F5">
        <w:rPr>
          <w:rFonts w:eastAsia="Calibri" w:cs="Calibri"/>
        </w:rPr>
        <w:t>Somente haverá a necessidade de comprovação do preenchimento de requisitos mediante apresentação dos documentos originais não-digitais quando houver dúvida em relação à integridade do documento digital.</w:t>
      </w:r>
    </w:p>
    <w:p w:rsidR="00297966" w:rsidRPr="00A17E37" w:rsidRDefault="00297966" w:rsidP="00F776F5">
      <w:pPr>
        <w:pStyle w:val="PargrafodaLista"/>
        <w:numPr>
          <w:ilvl w:val="2"/>
          <w:numId w:val="1"/>
        </w:numPr>
        <w:spacing w:before="120" w:after="120" w:line="276" w:lineRule="auto"/>
        <w:jc w:val="both"/>
        <w:rPr>
          <w:rFonts w:eastAsia="Calibri" w:cs="Calibri"/>
        </w:rPr>
      </w:pPr>
      <w:r w:rsidRPr="00A17E37">
        <w:rPr>
          <w:rFonts w:eastAsia="Calibri" w:cs="Calibri"/>
        </w:rPr>
        <w:t>Não serão aceitos documentos com indicação de CNPJ/CPF diferentes, salvo aqueles legalmente permitidos.</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Serão aceitos registros de CNPJ de licitante matriz e filial com diferenças de números de documentos pertinentes ao CND e ao CRF/FGTS, quando for comprovada a centralização do recolhimento dessas contribuições.</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 existência de restrição relativamente à regularidade fiscal e trabalhista não impede que a licitante qualificada como microempresa ou empresa de pequeno porte seja declarada vencedora, uma vez que atenda a todas as demais exigências do edital.</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 declaração do vencedor acontecerá no momento imediatamente posterior à fase de habilitação.</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Havendo necessidade de analisar minuciosamente os documentos exigidos, o Pregoeiro suspenderá a sessão, informando no “chat” a nova data e horário para a continuidade da mesma.</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Será inabilitado o licitante que não comprovar sua habilitação, seja por não apresentar quaisquer dos documentos exigidos, ou apresentá-los em desacordo com o estabelecido neste Edital.</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297966" w:rsidRPr="00A17E37" w:rsidRDefault="0029796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817424"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Constatado o atendimento às exigências de habilitação fixadas no Edital, o licitante será declarado vencedor.</w:t>
      </w:r>
    </w:p>
    <w:p w:rsidR="00A17E37" w:rsidRDefault="00A17E37" w:rsidP="00A17E37">
      <w:pPr>
        <w:spacing w:before="120" w:after="120" w:line="276" w:lineRule="auto"/>
        <w:ind w:left="-144"/>
        <w:jc w:val="both"/>
        <w:rPr>
          <w:rFonts w:eastAsia="Calibri" w:cs="Calibri"/>
        </w:rPr>
      </w:pPr>
    </w:p>
    <w:p w:rsidR="00817424" w:rsidRPr="00A17E37" w:rsidRDefault="00817424" w:rsidP="00F776F5">
      <w:pPr>
        <w:pStyle w:val="PargrafodaLista"/>
        <w:numPr>
          <w:ilvl w:val="0"/>
          <w:numId w:val="1"/>
        </w:numPr>
        <w:spacing w:before="120" w:after="120" w:line="276" w:lineRule="auto"/>
        <w:jc w:val="both"/>
        <w:rPr>
          <w:rFonts w:eastAsia="Calibri" w:cs="Calibri"/>
          <w:b/>
        </w:rPr>
      </w:pPr>
      <w:r w:rsidRPr="00A17E37">
        <w:rPr>
          <w:rFonts w:eastAsia="Calibri" w:cs="Calibri"/>
          <w:b/>
        </w:rPr>
        <w:t>DO ENCAMINHAMENTO DA PROPOSTA VENCEDORA</w:t>
      </w:r>
    </w:p>
    <w:p w:rsidR="00817424" w:rsidRPr="00A17E37" w:rsidRDefault="00817424" w:rsidP="00A17E37">
      <w:pPr>
        <w:spacing w:before="120" w:after="120" w:line="276" w:lineRule="auto"/>
        <w:jc w:val="both"/>
        <w:rPr>
          <w:rFonts w:eastAsia="Calibri" w:cs="Calibri"/>
        </w:rPr>
      </w:pPr>
      <w:r w:rsidRPr="00A17E37">
        <w:rPr>
          <w:rFonts w:eastAsia="Calibri" w:cs="Calibri"/>
        </w:rPr>
        <w:t xml:space="preserve">9.1  A proposta final do licitante declarado vencedor deverá ser encaminhada no prazo </w:t>
      </w:r>
      <w:r w:rsidR="00AB1BAF" w:rsidRPr="00A17E37">
        <w:rPr>
          <w:rFonts w:eastAsia="Calibri" w:cs="Calibri"/>
        </w:rPr>
        <w:t>estipulado pelo</w:t>
      </w:r>
      <w:r w:rsidRPr="00A17E37">
        <w:rPr>
          <w:rFonts w:eastAsia="Calibri" w:cs="Calibri"/>
        </w:rPr>
        <w:t xml:space="preserve"> Pregoeiro no sistema eletrônico e deverá:</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lastRenderedPageBreak/>
        <w:t>ser redigida em língua portuguesa, datilografada ou digitada, em uma via, sem emendas, rasuras, entrelinhas ou ressalvas, devendo a última folha ser assinada e as demais rubricadas pelo licitante ou seu representante legal.</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apresentar a planilha de custos e formação de preços, devidamente ajustada ao lance vencedor, em conformidade com o modelo anexo a este instrumento convocatório.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conter a indicação do banco, número da conta e agência do licitante vencedor, para fins de pagamento.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  </w:t>
      </w:r>
      <w:r w:rsidRPr="00A17E37">
        <w:rPr>
          <w:rFonts w:eastAsia="Calibri" w:cs="Calibri"/>
        </w:rPr>
        <w:tab/>
        <w:t>A proposta final deverá ser documentada nos autos e será levada em consideração no decorrer da execução do contrato e aplicação de eventual sanção à Contratada, se for o caso.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Todas as especificações do objeto contidas na proposta vinculam a Contratada.</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Os preços deverão ser expressos em moeda corrente nacional, o valor unitário em algarismos e o valor global em algarismos e por extenso (art. 5º da Lei nº 8.666/93).</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Ocorrendo divergência entre os preços unitários e o preço global, prevalecerão os primeiros; no caso de divergência entre os valores numéricos e os valores expressos por extenso, prevalecerão estes últimos.</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 </w:t>
      </w:r>
      <w:r w:rsidRPr="00A17E37">
        <w:rPr>
          <w:rFonts w:eastAsia="Calibri" w:cs="Calibri"/>
        </w:rPr>
        <w:tab/>
        <w:t>A oferta deverá ser firme e precisa, limitada, rigorosamente, ao objeto deste Edital, sem conter alternativas de preço ou de qualquer outra condição que induza o julgamento a mais de um resultado, sob pena de desclassificação.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 </w:t>
      </w:r>
      <w:r w:rsidRPr="00A17E37">
        <w:rPr>
          <w:rFonts w:eastAsia="Calibri" w:cs="Calibri"/>
        </w:rPr>
        <w:tab/>
        <w:t>A proposta deverá obedecer aos termos deste Edital e seus Anexos, não sendo considerada aquela que não corresponda às especificações ali contidas ou que estabeleça vínculo à proposta de outro licitante.</w:t>
      </w:r>
    </w:p>
    <w:p w:rsidR="00817424" w:rsidRPr="00D211E1" w:rsidRDefault="00817424" w:rsidP="00F776F5">
      <w:pPr>
        <w:pStyle w:val="Nivel01"/>
        <w:numPr>
          <w:ilvl w:val="0"/>
          <w:numId w:val="1"/>
        </w:numPr>
        <w:rPr>
          <w:rFonts w:cs="Arial"/>
          <w:lang w:eastAsia="en-US"/>
        </w:rPr>
      </w:pPr>
      <w:r w:rsidRPr="00D211E1">
        <w:rPr>
          <w:rFonts w:cs="Arial"/>
          <w:lang w:eastAsia="en-US"/>
        </w:rPr>
        <w:t xml:space="preserve">DOS </w:t>
      </w:r>
      <w:r w:rsidRPr="00D211E1">
        <w:rPr>
          <w:rFonts w:cs="Arial"/>
        </w:rPr>
        <w:t>RECURSOS</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rsidR="00817424" w:rsidRPr="00A17E37" w:rsidRDefault="00817424" w:rsidP="00F776F5">
      <w:pPr>
        <w:numPr>
          <w:ilvl w:val="1"/>
          <w:numId w:val="1"/>
        </w:numPr>
        <w:spacing w:before="120" w:after="120" w:line="276" w:lineRule="auto"/>
        <w:ind w:left="360"/>
        <w:jc w:val="both"/>
        <w:rPr>
          <w:rFonts w:eastAsia="Calibri" w:cs="Calibri"/>
        </w:rPr>
      </w:pPr>
      <w:r w:rsidRPr="00A17E37">
        <w:rPr>
          <w:rFonts w:eastAsia="Calibri" w:cs="Calibri"/>
        </w:rPr>
        <w:t>Havendo quem se manifeste, caberá ao Pregoeiro verificar a tempestividade e a existência de motivação da intenção de recorrer, para decidir se admite ou não o recurso, fundamentadamente.</w:t>
      </w:r>
    </w:p>
    <w:p w:rsidR="00817424" w:rsidRPr="00A17E37" w:rsidRDefault="00817424" w:rsidP="00F776F5">
      <w:pPr>
        <w:numPr>
          <w:ilvl w:val="2"/>
          <w:numId w:val="1"/>
        </w:numPr>
        <w:tabs>
          <w:tab w:val="left" w:pos="1440"/>
        </w:tabs>
        <w:autoSpaceDE w:val="0"/>
        <w:snapToGrid w:val="0"/>
        <w:spacing w:before="120" w:after="120" w:line="276" w:lineRule="auto"/>
        <w:ind w:left="360"/>
        <w:jc w:val="both"/>
        <w:rPr>
          <w:rFonts w:eastAsia="Calibri" w:cs="Calibri"/>
        </w:rPr>
      </w:pPr>
      <w:r w:rsidRPr="00A17E37">
        <w:rPr>
          <w:rFonts w:eastAsia="Calibri" w:cs="Calibri"/>
        </w:rPr>
        <w:t>Nesse momento o Pregoeiro não adentrará no mérito recursal, mas apenas verificará as condições de admissibilidade do recurso.</w:t>
      </w:r>
    </w:p>
    <w:p w:rsidR="00817424" w:rsidRPr="00A17E37" w:rsidRDefault="00817424" w:rsidP="00F776F5">
      <w:pPr>
        <w:numPr>
          <w:ilvl w:val="2"/>
          <w:numId w:val="1"/>
        </w:numPr>
        <w:tabs>
          <w:tab w:val="left" w:pos="1440"/>
        </w:tabs>
        <w:autoSpaceDE w:val="0"/>
        <w:snapToGrid w:val="0"/>
        <w:spacing w:before="120" w:after="120" w:line="276" w:lineRule="auto"/>
        <w:ind w:left="360"/>
        <w:jc w:val="both"/>
        <w:rPr>
          <w:rFonts w:eastAsia="Calibri" w:cs="Calibri"/>
        </w:rPr>
      </w:pPr>
      <w:r w:rsidRPr="00A17E37">
        <w:rPr>
          <w:rFonts w:eastAsia="Calibri" w:cs="Calibri"/>
        </w:rPr>
        <w:t>A falta de manifestação motivada do licitante quanto à intenção de recorrer importará a decadência desse direito.</w:t>
      </w:r>
    </w:p>
    <w:p w:rsidR="00817424" w:rsidRPr="00A17E37" w:rsidRDefault="00817424" w:rsidP="00F776F5">
      <w:pPr>
        <w:numPr>
          <w:ilvl w:val="2"/>
          <w:numId w:val="1"/>
        </w:numPr>
        <w:tabs>
          <w:tab w:val="left" w:pos="1440"/>
        </w:tabs>
        <w:autoSpaceDE w:val="0"/>
        <w:snapToGrid w:val="0"/>
        <w:spacing w:before="120" w:after="120" w:line="276" w:lineRule="auto"/>
        <w:ind w:left="360"/>
        <w:jc w:val="both"/>
        <w:rPr>
          <w:rFonts w:eastAsia="Calibri" w:cs="Calibri"/>
        </w:rPr>
      </w:pPr>
      <w:r w:rsidRPr="00A17E37">
        <w:rPr>
          <w:rFonts w:eastAsia="Calibri" w:cs="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17424" w:rsidRPr="00A17E37" w:rsidRDefault="00817424" w:rsidP="00F776F5">
      <w:pPr>
        <w:numPr>
          <w:ilvl w:val="1"/>
          <w:numId w:val="1"/>
        </w:numPr>
        <w:spacing w:before="120" w:after="120" w:line="276" w:lineRule="auto"/>
        <w:ind w:left="360"/>
        <w:jc w:val="both"/>
        <w:rPr>
          <w:rFonts w:eastAsia="Calibri" w:cs="Calibri"/>
        </w:rPr>
      </w:pPr>
      <w:r w:rsidRPr="00A17E37">
        <w:rPr>
          <w:rFonts w:eastAsia="Calibri" w:cs="Calibri"/>
        </w:rPr>
        <w:t xml:space="preserve">O acolhimento do recurso invalida tão somente os atos insuscetíveis de aproveitamento. </w:t>
      </w:r>
    </w:p>
    <w:p w:rsidR="00817424" w:rsidRPr="00A17E37" w:rsidRDefault="00817424" w:rsidP="00F776F5">
      <w:pPr>
        <w:numPr>
          <w:ilvl w:val="1"/>
          <w:numId w:val="1"/>
        </w:numPr>
        <w:spacing w:before="120" w:after="120" w:line="276" w:lineRule="auto"/>
        <w:ind w:left="360"/>
        <w:jc w:val="both"/>
        <w:rPr>
          <w:rFonts w:eastAsia="Calibri" w:cs="Calibri"/>
        </w:rPr>
      </w:pPr>
      <w:r w:rsidRPr="00A17E37">
        <w:rPr>
          <w:rFonts w:eastAsia="Calibri" w:cs="Calibri"/>
        </w:rPr>
        <w:t>Os autos do processo permanecerão com vista franqueada aos interessados, no endereço constante neste Edital.</w:t>
      </w:r>
    </w:p>
    <w:p w:rsidR="00817424" w:rsidRDefault="00817424" w:rsidP="00F776F5">
      <w:pPr>
        <w:pStyle w:val="Nivel01"/>
        <w:numPr>
          <w:ilvl w:val="0"/>
          <w:numId w:val="1"/>
        </w:numPr>
        <w:rPr>
          <w:rFonts w:cs="Arial"/>
          <w:szCs w:val="32"/>
        </w:rPr>
      </w:pPr>
      <w:r>
        <w:rPr>
          <w:rFonts w:cs="Arial"/>
          <w:lang w:eastAsia="en-US"/>
        </w:rPr>
        <w:lastRenderedPageBreak/>
        <w:t>DA REABERTURA DA SESSÃO PÚBLICA</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 sessão pública poderá ser reaberta:</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Todos os licitantes remanescentes deverão ser convocados para acompanhar a sessão reaberta.</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 convocação se dará por meio do sistema eletrônico (“chat”), e-mail, ou, ainda, fac-símile, de acordo com a fase do procedimento licitatório.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 convocação feita por e-mail ou fac-símile dar-se-á de acordo com os dados contidos no SICAF, sendo responsabilidade do licitante manter seus dados cadastrais atualizados.</w:t>
      </w:r>
    </w:p>
    <w:p w:rsidR="00817424" w:rsidRPr="00D211E1" w:rsidRDefault="00817424" w:rsidP="00F776F5">
      <w:pPr>
        <w:pStyle w:val="Nivel01"/>
        <w:numPr>
          <w:ilvl w:val="0"/>
          <w:numId w:val="1"/>
        </w:numPr>
        <w:ind w:left="567"/>
        <w:rPr>
          <w:rFonts w:cs="Arial"/>
        </w:rPr>
      </w:pPr>
      <w:r w:rsidRPr="00D211E1">
        <w:rPr>
          <w:rFonts w:cs="Arial"/>
        </w:rPr>
        <w:t>DA ADJUDICAÇÃO E HOMOLOGAÇÃO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D211E1">
        <w:rPr>
          <w:rFonts w:ascii="Arial" w:hAnsi="Arial" w:cs="Arial"/>
          <w:color w:val="000000"/>
          <w:sz w:val="20"/>
          <w:szCs w:val="20"/>
        </w:rPr>
        <w:t xml:space="preserve">O </w:t>
      </w:r>
      <w:r w:rsidRPr="00A17E37">
        <w:rPr>
          <w:rFonts w:eastAsia="Calibri" w:cs="Calibri"/>
        </w:rPr>
        <w:t>objeto da licitação será adjudicado ao licitante declarado vencedor, por ato do Pregoeiro, caso não haja interposição de recurso, ou pela autoridade competente, após a regular decisão dos recursos apresentados.</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Após a fase recursal, constatada a regularidade dos atos praticados, a autoridade competente homologará o procedimento licitatório. </w:t>
      </w:r>
    </w:p>
    <w:p w:rsidR="00817424" w:rsidRPr="00D211E1" w:rsidRDefault="00817424" w:rsidP="00F776F5">
      <w:pPr>
        <w:pStyle w:val="Nivel01"/>
        <w:numPr>
          <w:ilvl w:val="0"/>
          <w:numId w:val="1"/>
        </w:numPr>
        <w:ind w:left="567"/>
        <w:rPr>
          <w:rFonts w:cs="Arial"/>
        </w:rPr>
      </w:pPr>
      <w:r w:rsidRPr="00D211E1">
        <w:rPr>
          <w:rFonts w:cs="Arial"/>
        </w:rPr>
        <w:t>DA GARANTIA DE EXECUÇÃO</w:t>
      </w:r>
    </w:p>
    <w:p w:rsidR="00817424" w:rsidRPr="00A17E37" w:rsidRDefault="00A17E37"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Não s</w:t>
      </w:r>
      <w:r w:rsidR="00817424" w:rsidRPr="00A17E37">
        <w:rPr>
          <w:rFonts w:eastAsia="Calibri" w:cs="Calibri"/>
        </w:rPr>
        <w:t xml:space="preserve">erá exigida a prestação de garantia na presente contratação, conforme regras constantes do Termo de Referência. </w:t>
      </w:r>
    </w:p>
    <w:p w:rsidR="00817424" w:rsidRPr="00D211E1" w:rsidRDefault="00817424" w:rsidP="00ED022A">
      <w:pPr>
        <w:pStyle w:val="Nivel01"/>
        <w:numPr>
          <w:ilvl w:val="0"/>
          <w:numId w:val="13"/>
        </w:numPr>
        <w:tabs>
          <w:tab w:val="num" w:pos="426"/>
        </w:tabs>
        <w:ind w:left="567"/>
        <w:rPr>
          <w:rFonts w:cs="Arial"/>
        </w:rPr>
      </w:pPr>
      <w:r w:rsidRPr="00D211E1">
        <w:rPr>
          <w:rFonts w:cs="Arial"/>
        </w:rPr>
        <w:t>DO TERMO DE CONTRATO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Após a homologação da licitação, em sendo realizada a contratação, será firmado Termo de Contrato ou emitido instrumento equivalente.</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O adjudicatário terá o prazo de </w:t>
      </w:r>
      <w:r w:rsidR="00D211E1" w:rsidRPr="00A17E37">
        <w:rPr>
          <w:rFonts w:eastAsia="Calibri" w:cs="Calibri"/>
        </w:rPr>
        <w:t xml:space="preserve">5 </w:t>
      </w:r>
      <w:r w:rsidRPr="00A17E37">
        <w:rPr>
          <w:rFonts w:eastAsia="Calibri" w:cs="Calibri"/>
        </w:rPr>
        <w:t>(</w:t>
      </w:r>
      <w:r w:rsidR="00D211E1" w:rsidRPr="00A17E37">
        <w:rPr>
          <w:rFonts w:eastAsia="Calibri" w:cs="Calibri"/>
        </w:rPr>
        <w:t>cinco</w:t>
      </w:r>
      <w:r w:rsidRPr="00A17E37">
        <w:rPr>
          <w:rFonts w:eastAsia="Calibri" w:cs="Calibri"/>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D211E1" w:rsidRPr="00A17E37">
        <w:rPr>
          <w:rFonts w:eastAsia="Calibri" w:cs="Calibri"/>
        </w:rPr>
        <w:t>5</w:t>
      </w:r>
      <w:r w:rsidRPr="00A17E37">
        <w:rPr>
          <w:rFonts w:eastAsia="Calibri" w:cs="Calibri"/>
        </w:rPr>
        <w:t xml:space="preserve"> (</w:t>
      </w:r>
      <w:r w:rsidR="00D211E1" w:rsidRPr="00A17E37">
        <w:rPr>
          <w:rFonts w:eastAsia="Calibri" w:cs="Calibri"/>
        </w:rPr>
        <w:t>cinco</w:t>
      </w:r>
      <w:r w:rsidRPr="00A17E37">
        <w:rPr>
          <w:rFonts w:eastAsia="Calibri" w:cs="Calibri"/>
        </w:rPr>
        <w:t xml:space="preserve">) dias, a contar da data de seu recebimento. </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 prazo previsto no subitem anterior poderá ser prorrogado, por igual período, por solicitação justificada do adjudicatário e aceita pela Administração.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O Aceite da Nota de Empenho ou do instrumento equivalente, emitida à empresa adjudicada, implica no reconhecimento de que:</w:t>
      </w:r>
    </w:p>
    <w:p w:rsidR="00817424" w:rsidRPr="00A17E37" w:rsidRDefault="009B7ED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 </w:t>
      </w:r>
      <w:r w:rsidR="00817424" w:rsidRPr="00A17E37">
        <w:rPr>
          <w:rFonts w:eastAsia="Calibri" w:cs="Calibri"/>
        </w:rPr>
        <w:t>referida Nota está substituindo o contrato, aplicando-se à relação de negócios ali estabelecida as disposições da Lei nº 8.666, de 1993;</w:t>
      </w:r>
    </w:p>
    <w:p w:rsidR="00817424" w:rsidRPr="00A17E37" w:rsidRDefault="009B7ED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lastRenderedPageBreak/>
        <w:t xml:space="preserve"> </w:t>
      </w:r>
      <w:r w:rsidR="00817424" w:rsidRPr="00A17E37">
        <w:rPr>
          <w:rFonts w:eastAsia="Calibri" w:cs="Calibri"/>
        </w:rPr>
        <w:t>a contratada se vincula à sua proposta e às previsões contidas no edital e seus anexos;</w:t>
      </w:r>
    </w:p>
    <w:p w:rsidR="00817424" w:rsidRPr="00A17E37" w:rsidRDefault="009B7ED6"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 </w:t>
      </w:r>
      <w:r w:rsidR="00817424" w:rsidRPr="00A17E37">
        <w:rPr>
          <w:rFonts w:eastAsia="Calibri" w:cs="Calibri"/>
        </w:rPr>
        <w:t>a contratada reconhece que as hipóteses de rescisão são aquelas previstas nos artigos 77 e 78 da Lei nº 8.666/93 e reconhece os direitos da Administração previstos nos artigos 79 e 80 da mesma Lei.</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O prazo de vigência da contratação é de </w:t>
      </w:r>
      <w:r w:rsidR="00D211E1" w:rsidRPr="00A17E37">
        <w:rPr>
          <w:rFonts w:eastAsia="Calibri" w:cs="Calibri"/>
        </w:rPr>
        <w:t xml:space="preserve">12 (doze) meses </w:t>
      </w:r>
      <w:r w:rsidRPr="00A17E37">
        <w:rPr>
          <w:rFonts w:eastAsia="Calibri" w:cs="Calibri"/>
        </w:rPr>
        <w:t>prorrogável conforme previsão no instrumento contratua</w:t>
      </w:r>
      <w:r w:rsidR="00D211E1" w:rsidRPr="00A17E37">
        <w:rPr>
          <w:rFonts w:eastAsia="Calibri" w:cs="Calibri"/>
        </w:rPr>
        <w:t>l</w:t>
      </w:r>
      <w:r w:rsidRPr="00A17E37">
        <w:rPr>
          <w:rFonts w:eastAsia="Calibri" w:cs="Calibri"/>
        </w:rPr>
        <w:t xml:space="preserve">. </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Nos casos em que houver necessidade de assinatura do instrumento de contrato, e o fornecedor não estiver inscrito no SICAF, este deverá proceder ao seu cadastramento, sem ônus, antes da contratação.</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Na hipótese de irregularidade do registro no SICAF, o contratado deverá regularizar a sua situação perante o cadastro no prazo de até 05 (cinco) dias úteis, sob pena de aplicação das penalidades previstas no edital e anexos.</w:t>
      </w:r>
    </w:p>
    <w:p w:rsidR="00817424" w:rsidRPr="00A17E37" w:rsidRDefault="00817424" w:rsidP="00F776F5">
      <w:pPr>
        <w:pStyle w:val="PargrafodaLista"/>
        <w:numPr>
          <w:ilvl w:val="2"/>
          <w:numId w:val="1"/>
        </w:numPr>
        <w:spacing w:before="120" w:after="120" w:line="276" w:lineRule="auto"/>
        <w:ind w:left="360"/>
        <w:jc w:val="both"/>
        <w:rPr>
          <w:rFonts w:eastAsia="Calibri" w:cs="Calibri"/>
        </w:rPr>
      </w:pPr>
      <w:r w:rsidRPr="00A17E37">
        <w:rPr>
          <w:rFonts w:eastAsia="Calibri" w:cs="Calibri"/>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817424" w:rsidRPr="00D211E1" w:rsidRDefault="00817424" w:rsidP="00ED022A">
      <w:pPr>
        <w:pStyle w:val="Nivel01"/>
        <w:numPr>
          <w:ilvl w:val="0"/>
          <w:numId w:val="13"/>
        </w:numPr>
        <w:tabs>
          <w:tab w:val="num" w:pos="426"/>
        </w:tabs>
        <w:ind w:left="567"/>
        <w:rPr>
          <w:rFonts w:cs="Arial"/>
          <w:color w:val="auto"/>
        </w:rPr>
      </w:pPr>
      <w:r w:rsidRPr="00D211E1">
        <w:rPr>
          <w:rStyle w:val="normaltextrun"/>
          <w:rFonts w:cs="Arial"/>
          <w:bCs w:val="0"/>
          <w:color w:val="auto"/>
          <w:shd w:val="clear" w:color="auto" w:fill="FFFFFF"/>
        </w:rPr>
        <w:t>DO REAJUSTAMENTO EM SENTIDO GERAL</w:t>
      </w:r>
    </w:p>
    <w:p w:rsidR="00817424" w:rsidRPr="00A17E37" w:rsidRDefault="00817424" w:rsidP="00A17E37">
      <w:pPr>
        <w:pStyle w:val="PargrafodaLista"/>
        <w:numPr>
          <w:ilvl w:val="1"/>
          <w:numId w:val="16"/>
        </w:numPr>
        <w:spacing w:before="120" w:after="120" w:line="276" w:lineRule="auto"/>
        <w:jc w:val="both"/>
        <w:rPr>
          <w:rFonts w:eastAsia="Calibri" w:cs="Calibri"/>
        </w:rPr>
      </w:pPr>
      <w:r w:rsidRPr="00A17E37">
        <w:rPr>
          <w:rFonts w:eastAsia="Calibri" w:cs="Calibri"/>
        </w:rPr>
        <w:t>As regras acerca do reajustamento em sentido geral do valor contratual são as estabelecidas no Termo de Referência, anexo a este Edital.</w:t>
      </w:r>
    </w:p>
    <w:p w:rsidR="00817424" w:rsidRPr="00D211E1" w:rsidRDefault="00817424" w:rsidP="00ED022A">
      <w:pPr>
        <w:pStyle w:val="Nivel01"/>
        <w:numPr>
          <w:ilvl w:val="0"/>
          <w:numId w:val="13"/>
        </w:numPr>
        <w:tabs>
          <w:tab w:val="num" w:pos="426"/>
        </w:tabs>
        <w:ind w:left="567"/>
        <w:rPr>
          <w:rFonts w:cs="Arial"/>
        </w:rPr>
      </w:pPr>
      <w:r w:rsidRPr="00D211E1">
        <w:rPr>
          <w:rFonts w:cs="Arial"/>
        </w:rPr>
        <w:t>DA ACEITAÇÃO DO OBJETO E DA FISCALIZAÇÃO</w:t>
      </w:r>
    </w:p>
    <w:p w:rsidR="00817424" w:rsidRPr="00A17E37" w:rsidRDefault="00817424" w:rsidP="00A17E37">
      <w:pPr>
        <w:pStyle w:val="PargrafodaLista"/>
        <w:numPr>
          <w:ilvl w:val="0"/>
          <w:numId w:val="16"/>
        </w:numPr>
        <w:spacing w:before="120" w:after="120" w:line="276" w:lineRule="auto"/>
        <w:jc w:val="both"/>
        <w:rPr>
          <w:rFonts w:eastAsia="Calibri" w:cs="Calibri"/>
        </w:rPr>
      </w:pPr>
      <w:r w:rsidRPr="00A17E37">
        <w:rPr>
          <w:rFonts w:eastAsia="Calibri" w:cs="Calibri"/>
        </w:rPr>
        <w:t>Os critérios de aceitação do objeto e de fiscalização estão previstos no Termo de Referência.</w:t>
      </w:r>
    </w:p>
    <w:p w:rsidR="00817424" w:rsidRPr="00D211E1" w:rsidRDefault="00817424" w:rsidP="00ED022A">
      <w:pPr>
        <w:pStyle w:val="Nivel01"/>
        <w:numPr>
          <w:ilvl w:val="0"/>
          <w:numId w:val="13"/>
        </w:numPr>
        <w:tabs>
          <w:tab w:val="num" w:pos="426"/>
        </w:tabs>
        <w:ind w:left="567"/>
        <w:rPr>
          <w:rFonts w:cs="Arial"/>
        </w:rPr>
      </w:pPr>
      <w:r w:rsidRPr="00D211E1">
        <w:rPr>
          <w:rFonts w:cs="Arial"/>
          <w:lang w:eastAsia="en-US"/>
        </w:rPr>
        <w:t>DAS OBRIGAÇÕES DA CONTRATANTE E DA CONTRATADA</w:t>
      </w:r>
    </w:p>
    <w:p w:rsidR="00817424" w:rsidRPr="00A17E37" w:rsidRDefault="00817424" w:rsidP="00A17E37">
      <w:pPr>
        <w:numPr>
          <w:ilvl w:val="1"/>
          <w:numId w:val="13"/>
        </w:numPr>
        <w:tabs>
          <w:tab w:val="num" w:pos="567"/>
        </w:tabs>
        <w:spacing w:before="120" w:after="120" w:line="276" w:lineRule="auto"/>
        <w:ind w:left="567" w:hanging="567"/>
        <w:jc w:val="both"/>
        <w:rPr>
          <w:rFonts w:eastAsia="Calibri" w:cs="Calibri"/>
        </w:rPr>
      </w:pPr>
      <w:r w:rsidRPr="00A17E37">
        <w:rPr>
          <w:rFonts w:eastAsia="Calibri" w:cs="Calibri"/>
        </w:rPr>
        <w:t>As obrigações da Contratante e da Contratada são as estabelecidas no Termo de Referência.</w:t>
      </w:r>
    </w:p>
    <w:p w:rsidR="00817424" w:rsidRPr="00D211E1" w:rsidRDefault="00817424" w:rsidP="00A17E37">
      <w:pPr>
        <w:pStyle w:val="Nivel01"/>
        <w:numPr>
          <w:ilvl w:val="0"/>
          <w:numId w:val="13"/>
        </w:numPr>
        <w:tabs>
          <w:tab w:val="num" w:pos="426"/>
        </w:tabs>
        <w:ind w:left="567"/>
        <w:rPr>
          <w:rFonts w:cs="Arial"/>
        </w:rPr>
      </w:pPr>
      <w:r w:rsidRPr="00D211E1">
        <w:rPr>
          <w:rFonts w:cs="Arial"/>
        </w:rPr>
        <w:t>DO PAGAMENTO</w:t>
      </w:r>
    </w:p>
    <w:p w:rsidR="00A17E37" w:rsidRDefault="00817424" w:rsidP="00A17E37">
      <w:pPr>
        <w:numPr>
          <w:ilvl w:val="1"/>
          <w:numId w:val="13"/>
        </w:numPr>
        <w:tabs>
          <w:tab w:val="left" w:pos="1134"/>
        </w:tabs>
        <w:spacing w:before="120" w:after="120" w:line="276" w:lineRule="auto"/>
        <w:ind w:left="0" w:firstLine="0"/>
        <w:jc w:val="both"/>
        <w:rPr>
          <w:rFonts w:ascii="Arial" w:hAnsi="Arial" w:cs="Arial"/>
          <w:color w:val="000000"/>
          <w:sz w:val="20"/>
          <w:szCs w:val="20"/>
        </w:rPr>
      </w:pPr>
      <w:r w:rsidRPr="00A17E37">
        <w:rPr>
          <w:rFonts w:eastAsia="Calibri" w:cs="Calibri"/>
        </w:rPr>
        <w:t>As regras acerca do reajuste do valor contratual são as estabelecidas no Termo de Referência, anexo a</w:t>
      </w:r>
      <w:r w:rsidRPr="00D211E1">
        <w:rPr>
          <w:rFonts w:ascii="Arial" w:hAnsi="Arial" w:cs="Arial"/>
          <w:color w:val="000000"/>
          <w:sz w:val="20"/>
          <w:szCs w:val="20"/>
        </w:rPr>
        <w:t xml:space="preserve"> este Edital.</w:t>
      </w:r>
    </w:p>
    <w:p w:rsidR="00A17E37" w:rsidRDefault="00A17E37" w:rsidP="00A17E37">
      <w:pPr>
        <w:spacing w:before="120" w:after="120" w:line="276" w:lineRule="auto"/>
        <w:ind w:left="567"/>
        <w:jc w:val="both"/>
        <w:rPr>
          <w:rFonts w:ascii="Arial" w:hAnsi="Arial" w:cs="Arial"/>
          <w:color w:val="000000"/>
          <w:sz w:val="20"/>
          <w:szCs w:val="20"/>
        </w:rPr>
      </w:pPr>
    </w:p>
    <w:p w:rsidR="00A17E37" w:rsidRDefault="00A17E37" w:rsidP="00A17E37">
      <w:pPr>
        <w:spacing w:before="120" w:after="120" w:line="276" w:lineRule="auto"/>
        <w:jc w:val="both"/>
        <w:rPr>
          <w:rFonts w:ascii="Arial" w:hAnsi="Arial" w:cs="Arial"/>
          <w:b/>
          <w:color w:val="000000"/>
          <w:sz w:val="20"/>
          <w:szCs w:val="20"/>
        </w:rPr>
      </w:pPr>
      <w:r w:rsidRPr="00A17E37">
        <w:rPr>
          <w:rFonts w:eastAsia="Calibri" w:cs="Calibri"/>
          <w:b/>
        </w:rPr>
        <w:t xml:space="preserve">18. </w:t>
      </w:r>
      <w:r w:rsidR="00817424" w:rsidRPr="00A17E37">
        <w:rPr>
          <w:rFonts w:cs="Arial"/>
          <w:b/>
        </w:rPr>
        <w:t>DAS SANÇÕES ADMINISTRATIVAS.</w:t>
      </w:r>
    </w:p>
    <w:p w:rsidR="004B6C72" w:rsidRPr="004B6C72" w:rsidRDefault="004B6C72" w:rsidP="004B6C72">
      <w:pPr>
        <w:pStyle w:val="PargrafodaLista"/>
        <w:numPr>
          <w:ilvl w:val="1"/>
          <w:numId w:val="17"/>
        </w:numPr>
        <w:spacing w:before="120" w:after="120" w:line="276" w:lineRule="auto"/>
        <w:jc w:val="both"/>
        <w:rPr>
          <w:rFonts w:cs="Arial"/>
          <w:color w:val="000000"/>
          <w:szCs w:val="20"/>
        </w:rPr>
      </w:pPr>
      <w:r w:rsidRPr="004B6C72">
        <w:rPr>
          <w:rFonts w:cs="Arial"/>
          <w:color w:val="000000"/>
          <w:szCs w:val="20"/>
        </w:rPr>
        <w:t xml:space="preserve">Comete infração administrativa, nos termos da Lei nº 10.520, de 2002, o licitante/adjudicatário que: </w:t>
      </w:r>
    </w:p>
    <w:p w:rsidR="004B6C72" w:rsidRPr="004B6C72" w:rsidRDefault="004B6C72" w:rsidP="004B6C72">
      <w:pPr>
        <w:pStyle w:val="PargrafodaLista"/>
        <w:numPr>
          <w:ilvl w:val="2"/>
          <w:numId w:val="17"/>
        </w:numPr>
        <w:spacing w:before="120" w:after="120" w:line="276" w:lineRule="auto"/>
        <w:jc w:val="both"/>
        <w:rPr>
          <w:rFonts w:cs="Arial"/>
          <w:color w:val="000000"/>
          <w:szCs w:val="20"/>
        </w:rPr>
      </w:pPr>
      <w:r w:rsidRPr="004B6C72">
        <w:rPr>
          <w:rFonts w:cs="Arial"/>
          <w:color w:val="000000"/>
          <w:szCs w:val="20"/>
        </w:rPr>
        <w:lastRenderedPageBreak/>
        <w:t>não assinar o termo de contrato ou aceitar/retirar o instrumento equivalente, quando convocado dentro do prazo de validade da proposta;</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apresentar documentação falsa;</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deixar de entregar os documentos exigidos no certame;</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ensejar o retardamento da execução do objeto;</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não mantiver a proposta;</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cometer fraude fiscal;</w:t>
      </w:r>
    </w:p>
    <w:p w:rsidR="004B6C72" w:rsidRDefault="004B6C72" w:rsidP="004B6C72">
      <w:pPr>
        <w:numPr>
          <w:ilvl w:val="2"/>
          <w:numId w:val="17"/>
        </w:numPr>
        <w:spacing w:before="120" w:after="120" w:line="276" w:lineRule="auto"/>
        <w:jc w:val="both"/>
        <w:rPr>
          <w:rFonts w:cs="Arial"/>
          <w:color w:val="000000"/>
          <w:szCs w:val="20"/>
        </w:rPr>
      </w:pPr>
      <w:r>
        <w:rPr>
          <w:rFonts w:cs="Arial"/>
          <w:color w:val="000000"/>
          <w:szCs w:val="20"/>
        </w:rPr>
        <w:t>comportar-se de modo inidôneo;</w:t>
      </w:r>
    </w:p>
    <w:p w:rsidR="00817424" w:rsidRPr="00A17E37" w:rsidRDefault="00817424" w:rsidP="004B6C72">
      <w:pPr>
        <w:numPr>
          <w:ilvl w:val="2"/>
          <w:numId w:val="17"/>
        </w:numPr>
        <w:spacing w:before="120" w:after="120" w:line="276" w:lineRule="auto"/>
        <w:ind w:left="360" w:hanging="360"/>
        <w:jc w:val="both"/>
        <w:rPr>
          <w:rFonts w:eastAsia="Calibri" w:cs="Calibri"/>
        </w:rPr>
      </w:pPr>
      <w:r w:rsidRPr="00A17E37">
        <w:rPr>
          <w:rFonts w:eastAsia="Calibri" w:cs="Calibri"/>
        </w:rPr>
        <w:t>cometer fraude fiscal;</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comportar-se de modo inidôneo;</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O licitante/adjudicatário que cometer qualquer das infrações discriminadas nos subitens anteriores ficará sujeito, sem prejuízo da responsabilidade civil e criminal, às seguintes sanções:</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Advertência por faltas leves, assim entendidas como aquelas que não acarretarem prejuízos significativos ao objeto da contratação;</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 xml:space="preserve">Multa de </w:t>
      </w:r>
      <w:r w:rsidR="006D0660" w:rsidRPr="00A17E37">
        <w:rPr>
          <w:rFonts w:eastAsia="Calibri" w:cs="Calibri"/>
        </w:rPr>
        <w:t>02</w:t>
      </w:r>
      <w:r w:rsidRPr="00A17E37">
        <w:rPr>
          <w:rFonts w:eastAsia="Calibri" w:cs="Calibri"/>
        </w:rPr>
        <w:t>% (</w:t>
      </w:r>
      <w:r w:rsidR="006D0660" w:rsidRPr="00A17E37">
        <w:rPr>
          <w:rFonts w:eastAsia="Calibri" w:cs="Calibri"/>
        </w:rPr>
        <w:t>dois</w:t>
      </w:r>
      <w:r w:rsidRPr="00A17E37">
        <w:rPr>
          <w:rFonts w:eastAsia="Calibri" w:cs="Calibri"/>
        </w:rPr>
        <w:t xml:space="preserve"> por cento) sobre o valor estimado do(s) item(s) prejudicado(s) pela conduta do licitante;</w:t>
      </w:r>
    </w:p>
    <w:p w:rsidR="00817424" w:rsidRPr="00A17E37" w:rsidRDefault="00817424" w:rsidP="004B6C72">
      <w:pPr>
        <w:pStyle w:val="PargrafodaLista1"/>
        <w:numPr>
          <w:ilvl w:val="2"/>
          <w:numId w:val="17"/>
        </w:numPr>
        <w:spacing w:before="120" w:after="120" w:line="276" w:lineRule="auto"/>
        <w:ind w:left="360" w:right="-30"/>
        <w:jc w:val="both"/>
        <w:rPr>
          <w:rFonts w:asciiTheme="minorHAnsi" w:eastAsia="Calibri" w:hAnsiTheme="minorHAnsi" w:cs="Calibri"/>
          <w:sz w:val="22"/>
          <w:szCs w:val="22"/>
          <w:lang w:eastAsia="en-US"/>
        </w:rPr>
      </w:pPr>
      <w:r w:rsidRPr="00A17E37">
        <w:rPr>
          <w:rFonts w:asciiTheme="minorHAnsi" w:eastAsia="Calibri" w:hAnsiTheme="minorHAnsi" w:cs="Calibri"/>
          <w:sz w:val="22"/>
          <w:szCs w:val="22"/>
          <w:lang w:eastAsia="en-US"/>
        </w:rPr>
        <w:t>Suspensão de licitar e impedimento de contratar com o órgão, entidade ou unidade administrativa pela qual a Administração Pública opera e atua concretamente, pelo prazo de até dois anos;</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Impedimento de licitar e de contratar com a União e descredenciamento no SICAF, pelo prazo de até cinco anos;</w:t>
      </w:r>
    </w:p>
    <w:p w:rsidR="00817424" w:rsidRPr="00A17E37" w:rsidRDefault="00817424" w:rsidP="004B6C72">
      <w:pPr>
        <w:numPr>
          <w:ilvl w:val="2"/>
          <w:numId w:val="17"/>
        </w:numPr>
        <w:spacing w:before="120" w:after="120" w:line="276" w:lineRule="auto"/>
        <w:ind w:left="360"/>
        <w:jc w:val="both"/>
        <w:rPr>
          <w:rFonts w:eastAsia="Calibri" w:cs="Calibri"/>
        </w:rPr>
      </w:pPr>
      <w:r w:rsidRPr="00A17E37">
        <w:rPr>
          <w:rFonts w:eastAsia="Calibri" w:cs="Calibr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penalidade de multa pode ser aplicada cumulativamente com as demais sanções.</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 xml:space="preserve">O processamento do PAR não interfere no seguimento regular dos processos administrativos específicos para apuração da ocorrência de danos e prejuízos à Administração </w:t>
      </w:r>
      <w:r w:rsidRPr="00A17E37">
        <w:rPr>
          <w:rFonts w:eastAsia="Calibri" w:cs="Calibri"/>
        </w:rPr>
        <w:lastRenderedPageBreak/>
        <w:t xml:space="preserve">Pública Federal resultantes de ato lesivo cometido por pessoa jurídica, com ou sem a participação de agente público. </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Caso o valor da multa não seja suficiente para cobrir os prejuízos causados pela conduta do licitante, a União ou Entidade poderá cobrar o valor remanescente judicialmente, conforme artigo 419 do Código Civil.</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 autoridade competente, na aplicação das sanções, levará em consideração a gravidade da conduta do infrator, o caráter educativo da pena, bem como o dano causado à Administração, observado o princípio da proporcionalidade.</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As penalidades serão obrigatoriamente registradas no SICAF.</w:t>
      </w:r>
    </w:p>
    <w:p w:rsidR="00817424" w:rsidRPr="00A17E37" w:rsidRDefault="00817424" w:rsidP="004B6C72">
      <w:pPr>
        <w:numPr>
          <w:ilvl w:val="1"/>
          <w:numId w:val="17"/>
        </w:numPr>
        <w:spacing w:before="120" w:after="120" w:line="276" w:lineRule="auto"/>
        <w:ind w:left="360" w:firstLine="0"/>
        <w:jc w:val="both"/>
        <w:rPr>
          <w:rFonts w:eastAsia="Calibri" w:cs="Calibri"/>
        </w:rPr>
      </w:pPr>
      <w:r w:rsidRPr="00A17E37">
        <w:rPr>
          <w:rFonts w:eastAsia="Calibri" w:cs="Calibri"/>
        </w:rPr>
        <w:t>As sanções por atos praticados no decorrer da contratação estão previstas no Termo de Referência.</w:t>
      </w:r>
    </w:p>
    <w:p w:rsidR="00817424" w:rsidRPr="00D211E1" w:rsidRDefault="00817424" w:rsidP="004B6C72">
      <w:pPr>
        <w:pStyle w:val="Nivel01"/>
        <w:numPr>
          <w:ilvl w:val="0"/>
          <w:numId w:val="17"/>
        </w:numPr>
        <w:ind w:left="360"/>
        <w:rPr>
          <w:rFonts w:cs="Arial"/>
        </w:rPr>
      </w:pPr>
      <w:r w:rsidRPr="00D211E1">
        <w:rPr>
          <w:rFonts w:cs="Arial"/>
        </w:rPr>
        <w:t>DA IMPUGNAÇÃO AO EDITAL E DO PEDIDO DE ESCLARECIMENTO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Até 02 (dois) dias úteis antes da data designada para a abertura da sessão pública, qualquer pessoa poderá impugnar este Edital.</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A impugnação poderá ser realizada por forma eletrônica, pelo e-mail </w:t>
      </w:r>
      <w:r w:rsidR="00D211E1" w:rsidRPr="00C46BA3">
        <w:rPr>
          <w:rFonts w:eastAsia="Calibri" w:cs="Calibri"/>
          <w:b/>
          <w:u w:val="single"/>
        </w:rPr>
        <w:t>cpl@id.uff.br</w:t>
      </w:r>
      <w:r w:rsidR="00D211E1" w:rsidRPr="00A17E37">
        <w:rPr>
          <w:rFonts w:eastAsia="Calibri" w:cs="Calibri"/>
        </w:rPr>
        <w:t>.</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Caberá ao Pregoeiro decidir sobre a impugnação no prazo de até vinte e quatro horas.</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Acolhida a impugnação, será definida e publicada nova data para a realização do certame.</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As impugnações e pedidos de esclarecimentos não suspendem os prazos previstos no certame.</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As respostas às impugnações e os esclarecimentos prestados pelo Pregoeiro serão entranhados nos autos do processo licitatório e estarão disponíveis para consulta por qualquer interessado.</w:t>
      </w:r>
    </w:p>
    <w:p w:rsidR="00817424" w:rsidRPr="00D211E1" w:rsidRDefault="00817424" w:rsidP="004B6C72">
      <w:pPr>
        <w:pStyle w:val="Nivel01"/>
        <w:numPr>
          <w:ilvl w:val="0"/>
          <w:numId w:val="17"/>
        </w:numPr>
        <w:ind w:left="360"/>
        <w:rPr>
          <w:rFonts w:cs="Arial"/>
        </w:rPr>
      </w:pPr>
      <w:r w:rsidRPr="00D211E1">
        <w:rPr>
          <w:rFonts w:cs="Arial"/>
        </w:rPr>
        <w:t>DAS DISPOSIÇÕES GERAIS</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Da sessão pública do Pregão divulgar-se-á Ata no sistema eletrônico.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Todas as referências de tempo no Edital, no aviso e durante a sessão pública observarão o horário de Brasília – DF.</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O licitante será responsável por todas as transações que forem efetuadas em seu nome no sistema eletrônico, assumindo como firmes e verdadeiras suas propostas e lances.</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A homologação do resultado desta licitação não implicará direito à contratação.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Os licitantes assumem todos os custos de preparação e apresentação de suas propostas e a Administração não será, em nenhum caso, responsável por esses custos, independentemente da condução ou do resultado do processo licitatório.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Na contagem dos prazos estabelecidos neste Edital e seus Anexos, excluir-se-á o dia do início e incluir-se-á o do vencimento. Só se iniciam e vencem os prazos em dias de expediente na Administração.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O desatendimento de exigências formais não essenciais não importará o afastamento do licitante, desde que seja possível o aproveitamento do ato, observados os princípios da isonomia e do interesse público.</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Em caso de divergência entre disposições deste Edital e de seus anexos ou demais peças que compõem o processo, prevalecerá as deste Edital.</w:t>
      </w:r>
    </w:p>
    <w:p w:rsidR="00817424" w:rsidRPr="00A17E37"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 xml:space="preserve">O Edital está disponibilizado, na íntegra, no endereço eletrônico </w:t>
      </w:r>
      <w:r w:rsidR="00D211E1" w:rsidRPr="00A17E37">
        <w:rPr>
          <w:rFonts w:eastAsia="Calibri" w:cs="Calibri"/>
        </w:rPr>
        <w:t>www.comprasgovernamentais.gov.br</w:t>
      </w:r>
      <w:r w:rsidRPr="00A17E37">
        <w:rPr>
          <w:rFonts w:eastAsia="Calibri" w:cs="Calibri"/>
        </w:rPr>
        <w:t xml:space="preserve"> e também poderá ser lido e/ou obtido no endereço </w:t>
      </w:r>
      <w:r w:rsidR="00D211E1" w:rsidRPr="00A17E37">
        <w:rPr>
          <w:rFonts w:eastAsia="Calibri" w:cs="Calibri"/>
        </w:rPr>
        <w:t>Rua Miguel de Frias, 9, 1º Andar, Icaraí, Niterói - RJ</w:t>
      </w:r>
      <w:r w:rsidRPr="00A17E37">
        <w:rPr>
          <w:rFonts w:eastAsia="Calibri" w:cs="Calibri"/>
        </w:rPr>
        <w:t xml:space="preserve"> nos dias úteis, no horário das </w:t>
      </w:r>
      <w:r w:rsidR="00D211E1" w:rsidRPr="00A17E37">
        <w:rPr>
          <w:rFonts w:eastAsia="Calibri" w:cs="Calibri"/>
        </w:rPr>
        <w:t>10</w:t>
      </w:r>
      <w:r w:rsidRPr="00A17E37">
        <w:rPr>
          <w:rFonts w:eastAsia="Calibri" w:cs="Calibri"/>
        </w:rPr>
        <w:t xml:space="preserve"> horas às </w:t>
      </w:r>
      <w:r w:rsidR="00D211E1" w:rsidRPr="00A17E37">
        <w:rPr>
          <w:rFonts w:eastAsia="Calibri" w:cs="Calibri"/>
        </w:rPr>
        <w:t>16</w:t>
      </w:r>
      <w:r w:rsidRPr="00A17E37">
        <w:rPr>
          <w:rFonts w:eastAsia="Calibri" w:cs="Calibri"/>
        </w:rPr>
        <w:t xml:space="preserve"> horas, mesmo endereço e período no qual os autos do processo administrativo permanecerão com vista franqueada aos interessados.</w:t>
      </w:r>
    </w:p>
    <w:p w:rsidR="004B6C72" w:rsidRDefault="00817424" w:rsidP="004B6C72">
      <w:pPr>
        <w:numPr>
          <w:ilvl w:val="1"/>
          <w:numId w:val="17"/>
        </w:numPr>
        <w:spacing w:before="120" w:after="120" w:line="276" w:lineRule="auto"/>
        <w:ind w:left="0" w:firstLine="0"/>
        <w:jc w:val="both"/>
        <w:rPr>
          <w:rFonts w:eastAsia="Calibri" w:cs="Calibri"/>
        </w:rPr>
      </w:pPr>
      <w:r w:rsidRPr="00A17E37">
        <w:rPr>
          <w:rFonts w:eastAsia="Calibri" w:cs="Calibri"/>
        </w:rPr>
        <w:t>Integram este Edital, para todos os fins e efeitos, os seguintes anexos:</w:t>
      </w:r>
    </w:p>
    <w:p w:rsidR="00E26FAE" w:rsidRPr="004B6C72" w:rsidRDefault="00E26FAE" w:rsidP="004B6C72">
      <w:pPr>
        <w:spacing w:before="120" w:after="120" w:line="276" w:lineRule="auto"/>
        <w:jc w:val="both"/>
        <w:rPr>
          <w:rFonts w:eastAsia="Calibri" w:cs="Calibri"/>
          <w:b/>
        </w:rPr>
      </w:pPr>
      <w:r w:rsidRPr="004B6C72">
        <w:rPr>
          <w:rFonts w:eastAsia="Calibri" w:cs="Calibri"/>
          <w:b/>
        </w:rPr>
        <w:t>Anexo I - Termo de Referência;</w:t>
      </w:r>
    </w:p>
    <w:p w:rsidR="00E26FAE" w:rsidRPr="004B6C72" w:rsidRDefault="00E26FAE" w:rsidP="004B6C72">
      <w:pPr>
        <w:spacing w:before="120" w:after="120" w:line="276" w:lineRule="auto"/>
        <w:jc w:val="both"/>
        <w:rPr>
          <w:rFonts w:eastAsia="Calibri" w:cs="Calibri"/>
          <w:b/>
        </w:rPr>
      </w:pPr>
      <w:r w:rsidRPr="004B6C72">
        <w:rPr>
          <w:rFonts w:eastAsia="Calibri" w:cs="Calibri"/>
          <w:b/>
        </w:rPr>
        <w:t xml:space="preserve">Anexo II – </w:t>
      </w:r>
      <w:r w:rsidR="00F3714D" w:rsidRPr="004B6C72">
        <w:rPr>
          <w:rFonts w:eastAsia="Calibri" w:cs="Calibri"/>
          <w:b/>
        </w:rPr>
        <w:t>Minuta do contrato</w:t>
      </w:r>
      <w:r w:rsidRPr="004B6C72">
        <w:rPr>
          <w:rFonts w:eastAsia="Calibri" w:cs="Calibri"/>
          <w:b/>
        </w:rPr>
        <w:t>;</w:t>
      </w:r>
    </w:p>
    <w:p w:rsidR="00E26FAE" w:rsidRPr="004B6C72" w:rsidRDefault="00E26FAE" w:rsidP="004B6C72">
      <w:pPr>
        <w:spacing w:before="120" w:after="120" w:line="276" w:lineRule="auto"/>
        <w:jc w:val="both"/>
        <w:rPr>
          <w:rFonts w:eastAsia="Calibri" w:cs="Calibri"/>
          <w:b/>
        </w:rPr>
      </w:pPr>
      <w:r w:rsidRPr="004B6C72">
        <w:rPr>
          <w:rFonts w:eastAsia="Calibri" w:cs="Calibri"/>
          <w:b/>
        </w:rPr>
        <w:t>Anexo I</w:t>
      </w:r>
      <w:r w:rsidR="00C46BA3">
        <w:rPr>
          <w:rFonts w:eastAsia="Calibri" w:cs="Calibri"/>
          <w:b/>
        </w:rPr>
        <w:t>II</w:t>
      </w:r>
      <w:r w:rsidRPr="004B6C72">
        <w:rPr>
          <w:rFonts w:eastAsia="Calibri" w:cs="Calibri"/>
          <w:b/>
        </w:rPr>
        <w:t xml:space="preserve"> – </w:t>
      </w:r>
      <w:r w:rsidR="00A960B1">
        <w:rPr>
          <w:rFonts w:eastAsia="Calibri" w:cs="Calibri"/>
          <w:b/>
        </w:rPr>
        <w:t>Modelo de Proposta</w:t>
      </w:r>
      <w:r w:rsidRPr="004B6C72">
        <w:rPr>
          <w:rFonts w:eastAsia="Calibri" w:cs="Calibri"/>
          <w:b/>
        </w:rPr>
        <w:t>;</w:t>
      </w:r>
    </w:p>
    <w:p w:rsidR="00E26FAE" w:rsidRPr="00D80E92" w:rsidRDefault="00E26FAE" w:rsidP="00C60B30">
      <w:pPr>
        <w:pStyle w:val="PargrafodaLista"/>
        <w:pBdr>
          <w:between w:val="nil"/>
        </w:pBdr>
        <w:spacing w:before="120" w:after="120" w:line="276" w:lineRule="auto"/>
        <w:ind w:left="375"/>
        <w:jc w:val="both"/>
        <w:rPr>
          <w:rFonts w:ascii="Arial" w:hAnsi="Arial" w:cs="Arial"/>
          <w:sz w:val="20"/>
          <w:szCs w:val="20"/>
        </w:rPr>
      </w:pPr>
    </w:p>
    <w:p w:rsidR="00817424" w:rsidRDefault="00817424" w:rsidP="00817424">
      <w:pPr>
        <w:spacing w:before="120" w:after="120" w:line="276" w:lineRule="auto"/>
        <w:jc w:val="both"/>
        <w:rPr>
          <w:rFonts w:cs="Arial"/>
          <w:color w:val="000000"/>
          <w:szCs w:val="20"/>
        </w:rPr>
      </w:pPr>
    </w:p>
    <w:p w:rsidR="00591829" w:rsidRDefault="00591829" w:rsidP="00817424">
      <w:pPr>
        <w:spacing w:before="120" w:after="120" w:line="276" w:lineRule="auto"/>
        <w:jc w:val="center"/>
        <w:rPr>
          <w:rFonts w:cs="Arial"/>
          <w:color w:val="000000"/>
          <w:szCs w:val="20"/>
        </w:rPr>
      </w:pPr>
      <w:r>
        <w:rPr>
          <w:rFonts w:cs="Arial"/>
          <w:color w:val="000000"/>
          <w:szCs w:val="20"/>
        </w:rPr>
        <w:t>Niterói 31 de maio de 2019</w:t>
      </w:r>
    </w:p>
    <w:p w:rsidR="00297966" w:rsidRDefault="00591829" w:rsidP="00591829">
      <w:pPr>
        <w:tabs>
          <w:tab w:val="left" w:pos="1440"/>
        </w:tabs>
        <w:autoSpaceDE w:val="0"/>
        <w:snapToGrid w:val="0"/>
        <w:spacing w:before="120" w:after="120" w:line="276" w:lineRule="auto"/>
        <w:ind w:left="1072"/>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Alexandre Perez Marques</w:t>
      </w:r>
    </w:p>
    <w:p w:rsidR="00591829" w:rsidRDefault="00591829" w:rsidP="00591829">
      <w:pPr>
        <w:tabs>
          <w:tab w:val="left" w:pos="1440"/>
        </w:tabs>
        <w:autoSpaceDE w:val="0"/>
        <w:snapToGrid w:val="0"/>
        <w:spacing w:before="120" w:after="120" w:line="276"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Pregoeiro CLi/PROAD</w:t>
      </w:r>
    </w:p>
    <w:sectPr w:rsidR="00591829" w:rsidSect="006D0660">
      <w:headerReference w:type="default" r:id="rId19"/>
      <w:footerReference w:type="default" r:id="rId20"/>
      <w:type w:val="continuous"/>
      <w:pgSz w:w="11906" w:h="16838" w:code="9"/>
      <w:pgMar w:top="142" w:right="1134" w:bottom="1134" w:left="156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5A" w:rsidRDefault="00A9625A" w:rsidP="008329C0">
      <w:pPr>
        <w:spacing w:after="0" w:line="240" w:lineRule="auto"/>
      </w:pPr>
      <w:r>
        <w:separator/>
      </w:r>
    </w:p>
  </w:endnote>
  <w:endnote w:type="continuationSeparator" w:id="0">
    <w:p w:rsidR="00A9625A" w:rsidRDefault="00A9625A" w:rsidP="0083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017"/>
      <w:docPartObj>
        <w:docPartGallery w:val="Page Numbers (Bottom of Page)"/>
        <w:docPartUnique/>
      </w:docPartObj>
    </w:sdtPr>
    <w:sdtEndPr/>
    <w:sdtContent>
      <w:sdt>
        <w:sdtPr>
          <w:id w:val="-1439138351"/>
          <w:docPartObj>
            <w:docPartGallery w:val="Page Numbers (Top of Page)"/>
            <w:docPartUnique/>
          </w:docPartObj>
        </w:sdtPr>
        <w:sdtEndPr/>
        <w:sdtContent>
          <w:p w:rsidR="004B0FA4" w:rsidRDefault="004B0FA4" w:rsidP="00AE1DC7">
            <w:pPr>
              <w:pStyle w:val="Rodap"/>
              <w:jc w:val="right"/>
            </w:pPr>
            <w:r w:rsidRPr="00EE6C96">
              <w:rPr>
                <w:rFonts w:ascii="Verdana" w:hAnsi="Verdana"/>
                <w:sz w:val="16"/>
                <w:szCs w:val="16"/>
              </w:rPr>
              <w:t xml:space="preserve">Página </w:t>
            </w:r>
            <w:r w:rsidRPr="00EE6C96">
              <w:rPr>
                <w:rFonts w:ascii="Verdana" w:hAnsi="Verdana"/>
                <w:bCs/>
                <w:sz w:val="16"/>
                <w:szCs w:val="16"/>
              </w:rPr>
              <w:fldChar w:fldCharType="begin"/>
            </w:r>
            <w:r w:rsidRPr="00EE6C96">
              <w:rPr>
                <w:rFonts w:ascii="Verdana" w:hAnsi="Verdana"/>
                <w:bCs/>
                <w:sz w:val="16"/>
                <w:szCs w:val="16"/>
              </w:rPr>
              <w:instrText>PAGE</w:instrText>
            </w:r>
            <w:r w:rsidRPr="00EE6C96">
              <w:rPr>
                <w:rFonts w:ascii="Verdana" w:hAnsi="Verdana"/>
                <w:bCs/>
                <w:sz w:val="16"/>
                <w:szCs w:val="16"/>
              </w:rPr>
              <w:fldChar w:fldCharType="separate"/>
            </w:r>
            <w:r w:rsidR="007F0D45">
              <w:rPr>
                <w:rFonts w:ascii="Verdana" w:hAnsi="Verdana"/>
                <w:bCs/>
                <w:noProof/>
                <w:sz w:val="16"/>
                <w:szCs w:val="16"/>
              </w:rPr>
              <w:t>8</w:t>
            </w:r>
            <w:r w:rsidRPr="00EE6C96">
              <w:rPr>
                <w:rFonts w:ascii="Verdana" w:hAnsi="Verdana"/>
                <w:bCs/>
                <w:sz w:val="16"/>
                <w:szCs w:val="16"/>
              </w:rPr>
              <w:fldChar w:fldCharType="end"/>
            </w:r>
            <w:r w:rsidRPr="00EE6C96">
              <w:rPr>
                <w:rFonts w:ascii="Verdana" w:hAnsi="Verdana"/>
                <w:sz w:val="16"/>
                <w:szCs w:val="16"/>
              </w:rPr>
              <w:t xml:space="preserve"> de </w:t>
            </w:r>
            <w:r w:rsidRPr="00EE6C96">
              <w:rPr>
                <w:rFonts w:ascii="Verdana" w:hAnsi="Verdana"/>
                <w:bCs/>
                <w:sz w:val="16"/>
                <w:szCs w:val="16"/>
              </w:rPr>
              <w:fldChar w:fldCharType="begin"/>
            </w:r>
            <w:r w:rsidRPr="00EE6C96">
              <w:rPr>
                <w:rFonts w:ascii="Verdana" w:hAnsi="Verdana"/>
                <w:bCs/>
                <w:sz w:val="16"/>
                <w:szCs w:val="16"/>
              </w:rPr>
              <w:instrText>NUMPAGES</w:instrText>
            </w:r>
            <w:r w:rsidRPr="00EE6C96">
              <w:rPr>
                <w:rFonts w:ascii="Verdana" w:hAnsi="Verdana"/>
                <w:bCs/>
                <w:sz w:val="16"/>
                <w:szCs w:val="16"/>
              </w:rPr>
              <w:fldChar w:fldCharType="separate"/>
            </w:r>
            <w:r w:rsidR="007F0D45">
              <w:rPr>
                <w:rFonts w:ascii="Verdana" w:hAnsi="Verdana"/>
                <w:bCs/>
                <w:noProof/>
                <w:sz w:val="16"/>
                <w:szCs w:val="16"/>
              </w:rPr>
              <w:t>18</w:t>
            </w:r>
            <w:r w:rsidRPr="00EE6C96">
              <w:rPr>
                <w:rFonts w:ascii="Verdana" w:hAnsi="Verdana"/>
                <w:bCs/>
                <w:sz w:val="16"/>
                <w:szCs w:val="16"/>
              </w:rPr>
              <w:fldChar w:fldCharType="end"/>
            </w:r>
          </w:p>
        </w:sdtContent>
      </w:sdt>
    </w:sdtContent>
  </w:sdt>
  <w:p w:rsidR="004B0FA4" w:rsidRDefault="004B0FA4" w:rsidP="00B056A5">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5A" w:rsidRDefault="00A9625A" w:rsidP="008329C0">
      <w:pPr>
        <w:spacing w:after="0" w:line="240" w:lineRule="auto"/>
      </w:pPr>
      <w:r>
        <w:separator/>
      </w:r>
    </w:p>
  </w:footnote>
  <w:footnote w:type="continuationSeparator" w:id="0">
    <w:p w:rsidR="00A9625A" w:rsidRDefault="00A9625A" w:rsidP="00832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A4" w:rsidRPr="00347E5F" w:rsidRDefault="004B0FA4" w:rsidP="008329C0">
    <w:pPr>
      <w:pStyle w:val="Cabealho"/>
      <w:jc w:val="right"/>
      <w:rPr>
        <w:rFonts w:ascii="Verdana" w:hAnsi="Verdana"/>
        <w:sz w:val="16"/>
        <w:szCs w:val="16"/>
      </w:rPr>
    </w:pPr>
    <w:r>
      <w:tab/>
    </w:r>
    <w:r>
      <w:rPr>
        <w:rFonts w:ascii="Verdana" w:hAnsi="Verdana"/>
        <w:noProof/>
        <w:sz w:val="16"/>
        <w:szCs w:val="16"/>
      </w:rPr>
      <w:drawing>
        <wp:inline distT="0" distB="0" distL="0" distR="0" wp14:anchorId="1495F2EF" wp14:editId="5795756B">
          <wp:extent cx="289560" cy="15760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r w:rsidRPr="00347E5F">
      <w:rPr>
        <w:rFonts w:ascii="Verdana" w:hAnsi="Verdana"/>
        <w:sz w:val="16"/>
        <w:szCs w:val="16"/>
      </w:rPr>
      <w:t>Fls.__________</w:t>
    </w:r>
  </w:p>
  <w:p w:rsidR="004B0FA4" w:rsidRDefault="004B0FA4" w:rsidP="008329C0">
    <w:pPr>
      <w:pStyle w:val="Cabealho"/>
      <w:jc w:val="right"/>
      <w:rPr>
        <w:rFonts w:ascii="Verdana" w:hAnsi="Verdana"/>
        <w:sz w:val="16"/>
        <w:szCs w:val="16"/>
      </w:rPr>
    </w:pPr>
    <w:r w:rsidRPr="00C84FA6">
      <w:rPr>
        <w:rFonts w:ascii="Verdana" w:hAnsi="Verdana"/>
        <w:sz w:val="16"/>
        <w:szCs w:val="16"/>
      </w:rPr>
      <w:t xml:space="preserve">Processo n.º </w:t>
    </w:r>
    <w:r w:rsidR="0053190D">
      <w:rPr>
        <w:rFonts w:ascii="Verdana" w:hAnsi="Verdana"/>
        <w:sz w:val="16"/>
        <w:szCs w:val="16"/>
      </w:rPr>
      <w:t>23069.002593/2019-78</w:t>
    </w:r>
  </w:p>
  <w:p w:rsidR="004B0FA4" w:rsidRPr="00C84FA6" w:rsidRDefault="004B0FA4" w:rsidP="008329C0">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8"/>
    <w:lvl w:ilvl="0">
      <w:start w:val="1"/>
      <w:numFmt w:val="lowerLetter"/>
      <w:lvlText w:val="%1)"/>
      <w:lvlJc w:val="left"/>
      <w:pPr>
        <w:tabs>
          <w:tab w:val="num" w:pos="720"/>
        </w:tabs>
        <w:ind w:left="720" w:hanging="360"/>
      </w:pPr>
    </w:lvl>
  </w:abstractNum>
  <w:abstractNum w:abstractNumId="1" w15:restartNumberingAfterBreak="0">
    <w:nsid w:val="0B8E7F89"/>
    <w:multiLevelType w:val="multilevel"/>
    <w:tmpl w:val="9E06BA64"/>
    <w:lvl w:ilvl="0">
      <w:start w:val="7"/>
      <w:numFmt w:val="decimal"/>
      <w:lvlText w:val="%1"/>
      <w:lvlJc w:val="left"/>
      <w:pPr>
        <w:ind w:left="540" w:hanging="540"/>
      </w:pPr>
    </w:lvl>
    <w:lvl w:ilvl="1">
      <w:start w:val="1"/>
      <w:numFmt w:val="decimal"/>
      <w:lvlText w:val="%1.%2"/>
      <w:lvlJc w:val="left"/>
      <w:pPr>
        <w:ind w:left="1036" w:hanging="540"/>
      </w:p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16740E7C"/>
    <w:multiLevelType w:val="multilevel"/>
    <w:tmpl w:val="B324E8D2"/>
    <w:lvl w:ilvl="0">
      <w:start w:val="7"/>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15:restartNumberingAfterBreak="0">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1D5C100D"/>
    <w:multiLevelType w:val="multilevel"/>
    <w:tmpl w:val="952E98D2"/>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746C8C"/>
    <w:multiLevelType w:val="multilevel"/>
    <w:tmpl w:val="C4BCFAB4"/>
    <w:lvl w:ilvl="0">
      <w:start w:val="1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346250F7"/>
    <w:multiLevelType w:val="multilevel"/>
    <w:tmpl w:val="B9CA0858"/>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365765B5"/>
    <w:multiLevelType w:val="multilevel"/>
    <w:tmpl w:val="4290E8EA"/>
    <w:lvl w:ilvl="0">
      <w:start w:val="4"/>
      <w:numFmt w:val="decimal"/>
      <w:lvlText w:val="%1"/>
      <w:lvlJc w:val="left"/>
      <w:pPr>
        <w:ind w:left="435" w:hanging="435"/>
      </w:pPr>
      <w:rPr>
        <w:color w:val="000000"/>
        <w:sz w:val="20"/>
      </w:rPr>
    </w:lvl>
    <w:lvl w:ilvl="1">
      <w:start w:val="3"/>
      <w:numFmt w:val="decimal"/>
      <w:lvlText w:val="%1.%2"/>
      <w:lvlJc w:val="left"/>
      <w:pPr>
        <w:ind w:left="1145" w:hanging="435"/>
      </w:pPr>
      <w:rPr>
        <w:color w:val="000000"/>
        <w:sz w:val="20"/>
      </w:rPr>
    </w:lvl>
    <w:lvl w:ilvl="2">
      <w:start w:val="1"/>
      <w:numFmt w:val="decimal"/>
      <w:lvlText w:val="%1.%2.%3"/>
      <w:lvlJc w:val="left"/>
      <w:pPr>
        <w:ind w:left="2140" w:hanging="720"/>
      </w:pPr>
      <w:rPr>
        <w:color w:val="000000"/>
        <w:sz w:val="20"/>
      </w:rPr>
    </w:lvl>
    <w:lvl w:ilvl="3">
      <w:start w:val="1"/>
      <w:numFmt w:val="decimal"/>
      <w:lvlText w:val="%1.%2.%3.%4"/>
      <w:lvlJc w:val="left"/>
      <w:pPr>
        <w:ind w:left="2850" w:hanging="720"/>
      </w:pPr>
      <w:rPr>
        <w:color w:val="000000"/>
        <w:sz w:val="20"/>
      </w:rPr>
    </w:lvl>
    <w:lvl w:ilvl="4">
      <w:start w:val="1"/>
      <w:numFmt w:val="decimal"/>
      <w:lvlText w:val="%1.%2.%3.%4.%5"/>
      <w:lvlJc w:val="left"/>
      <w:pPr>
        <w:ind w:left="3560" w:hanging="720"/>
      </w:pPr>
      <w:rPr>
        <w:color w:val="000000"/>
        <w:sz w:val="20"/>
      </w:rPr>
    </w:lvl>
    <w:lvl w:ilvl="5">
      <w:start w:val="1"/>
      <w:numFmt w:val="decimal"/>
      <w:lvlText w:val="%1.%2.%3.%4.%5.%6"/>
      <w:lvlJc w:val="left"/>
      <w:pPr>
        <w:ind w:left="4630" w:hanging="1080"/>
      </w:pPr>
      <w:rPr>
        <w:color w:val="000000"/>
        <w:sz w:val="20"/>
      </w:rPr>
    </w:lvl>
    <w:lvl w:ilvl="6">
      <w:start w:val="1"/>
      <w:numFmt w:val="decimal"/>
      <w:lvlText w:val="%1.%2.%3.%4.%5.%6.%7"/>
      <w:lvlJc w:val="left"/>
      <w:pPr>
        <w:ind w:left="5340" w:hanging="1080"/>
      </w:pPr>
      <w:rPr>
        <w:color w:val="000000"/>
        <w:sz w:val="20"/>
      </w:rPr>
    </w:lvl>
    <w:lvl w:ilvl="7">
      <w:start w:val="1"/>
      <w:numFmt w:val="decimal"/>
      <w:lvlText w:val="%1.%2.%3.%4.%5.%6.%7.%8"/>
      <w:lvlJc w:val="left"/>
      <w:pPr>
        <w:ind w:left="6410" w:hanging="1440"/>
      </w:pPr>
      <w:rPr>
        <w:color w:val="000000"/>
        <w:sz w:val="20"/>
      </w:rPr>
    </w:lvl>
    <w:lvl w:ilvl="8">
      <w:start w:val="1"/>
      <w:numFmt w:val="decimal"/>
      <w:lvlText w:val="%1.%2.%3.%4.%5.%6.%7.%8.%9"/>
      <w:lvlJc w:val="left"/>
      <w:pPr>
        <w:ind w:left="7120" w:hanging="1440"/>
      </w:pPr>
      <w:rPr>
        <w:color w:val="000000"/>
        <w:sz w:val="20"/>
      </w:rPr>
    </w:lvl>
  </w:abstractNum>
  <w:abstractNum w:abstractNumId="8" w15:restartNumberingAfterBreak="0">
    <w:nsid w:val="36CB5ACA"/>
    <w:multiLevelType w:val="hybridMultilevel"/>
    <w:tmpl w:val="7F3EE68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42C00597"/>
    <w:multiLevelType w:val="multilevel"/>
    <w:tmpl w:val="50367786"/>
    <w:lvl w:ilvl="0">
      <w:start w:val="20"/>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72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0" w15:restartNumberingAfterBreak="0">
    <w:nsid w:val="4B4B48AF"/>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4FAE1601"/>
    <w:multiLevelType w:val="multilevel"/>
    <w:tmpl w:val="FC5856EA"/>
    <w:lvl w:ilvl="0">
      <w:start w:val="7"/>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15:restartNumberingAfterBreak="0">
    <w:nsid w:val="51740E35"/>
    <w:multiLevelType w:val="multilevel"/>
    <w:tmpl w:val="7A268EC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9213D0"/>
    <w:multiLevelType w:val="multilevel"/>
    <w:tmpl w:val="0416001F"/>
    <w:lvl w:ilvl="0">
      <w:start w:val="1"/>
      <w:numFmt w:val="decimal"/>
      <w:lvlText w:val="%1."/>
      <w:lvlJc w:val="left"/>
      <w:pPr>
        <w:ind w:left="360" w:hanging="360"/>
      </w:pPr>
    </w:lvl>
    <w:lvl w:ilvl="1">
      <w:start w:val="1"/>
      <w:numFmt w:val="decimal"/>
      <w:lvlText w:val="%1.%2."/>
      <w:lvlJc w:val="left"/>
      <w:pPr>
        <w:ind w:left="12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2D4641"/>
    <w:multiLevelType w:val="multilevel"/>
    <w:tmpl w:val="A45265DE"/>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5" w15:restartNumberingAfterBreak="0">
    <w:nsid w:val="776B0969"/>
    <w:multiLevelType w:val="multilevel"/>
    <w:tmpl w:val="CAF00A1A"/>
    <w:lvl w:ilvl="0">
      <w:start w:val="7"/>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6" w15:restartNumberingAfterBreak="0">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7" w15:restartNumberingAfterBreak="0">
    <w:nsid w:val="7C966005"/>
    <w:multiLevelType w:val="multilevel"/>
    <w:tmpl w:val="B066CD14"/>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06127D"/>
    <w:multiLevelType w:val="multilevel"/>
    <w:tmpl w:val="E62825D4"/>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230B1B"/>
    <w:multiLevelType w:val="multilevel"/>
    <w:tmpl w:val="758CE8CC"/>
    <w:lvl w:ilvl="0">
      <w:start w:val="7"/>
      <w:numFmt w:val="decimal"/>
      <w:lvlText w:val="%1"/>
      <w:lvlJc w:val="left"/>
      <w:pPr>
        <w:ind w:left="435" w:hanging="435"/>
      </w:pPr>
      <w:rPr>
        <w:color w:val="auto"/>
      </w:rPr>
    </w:lvl>
    <w:lvl w:ilvl="1">
      <w:start w:val="4"/>
      <w:numFmt w:val="decimal"/>
      <w:lvlText w:val="%1.%2"/>
      <w:lvlJc w:val="left"/>
      <w:pPr>
        <w:ind w:left="931" w:hanging="435"/>
      </w:pPr>
      <w:rPr>
        <w:color w:val="auto"/>
      </w:rPr>
    </w:lvl>
    <w:lvl w:ilvl="2">
      <w:start w:val="1"/>
      <w:numFmt w:val="decimal"/>
      <w:lvlText w:val="%1.%2.%3"/>
      <w:lvlJc w:val="left"/>
      <w:pPr>
        <w:ind w:left="1712" w:hanging="720"/>
      </w:pPr>
      <w:rPr>
        <w:color w:val="auto"/>
      </w:rPr>
    </w:lvl>
    <w:lvl w:ilvl="3">
      <w:start w:val="1"/>
      <w:numFmt w:val="decimal"/>
      <w:lvlText w:val="%1.%2.%3.%4"/>
      <w:lvlJc w:val="left"/>
      <w:pPr>
        <w:ind w:left="2208" w:hanging="720"/>
      </w:pPr>
      <w:rPr>
        <w:color w:val="auto"/>
      </w:rPr>
    </w:lvl>
    <w:lvl w:ilvl="4">
      <w:start w:val="1"/>
      <w:numFmt w:val="decimal"/>
      <w:lvlText w:val="%1.%2.%3.%4.%5"/>
      <w:lvlJc w:val="left"/>
      <w:pPr>
        <w:ind w:left="3064" w:hanging="1080"/>
      </w:pPr>
      <w:rPr>
        <w:color w:val="auto"/>
      </w:rPr>
    </w:lvl>
    <w:lvl w:ilvl="5">
      <w:start w:val="1"/>
      <w:numFmt w:val="decimal"/>
      <w:lvlText w:val="%1.%2.%3.%4.%5.%6"/>
      <w:lvlJc w:val="left"/>
      <w:pPr>
        <w:ind w:left="3560" w:hanging="1080"/>
      </w:pPr>
      <w:rPr>
        <w:color w:val="auto"/>
      </w:rPr>
    </w:lvl>
    <w:lvl w:ilvl="6">
      <w:start w:val="1"/>
      <w:numFmt w:val="decimal"/>
      <w:lvlText w:val="%1.%2.%3.%4.%5.%6.%7"/>
      <w:lvlJc w:val="left"/>
      <w:pPr>
        <w:ind w:left="4416" w:hanging="1440"/>
      </w:pPr>
      <w:rPr>
        <w:color w:val="auto"/>
      </w:rPr>
    </w:lvl>
    <w:lvl w:ilvl="7">
      <w:start w:val="1"/>
      <w:numFmt w:val="decimal"/>
      <w:lvlText w:val="%1.%2.%3.%4.%5.%6.%7.%8"/>
      <w:lvlJc w:val="left"/>
      <w:pPr>
        <w:ind w:left="4912" w:hanging="1440"/>
      </w:pPr>
      <w:rPr>
        <w:color w:val="auto"/>
      </w:rPr>
    </w:lvl>
    <w:lvl w:ilvl="8">
      <w:start w:val="1"/>
      <w:numFmt w:val="decimal"/>
      <w:lvlText w:val="%1.%2.%3.%4.%5.%6.%7.%8.%9"/>
      <w:lvlJc w:val="left"/>
      <w:pPr>
        <w:ind w:left="5768" w:hanging="1800"/>
      </w:pPr>
      <w:rPr>
        <w:color w:val="auto"/>
      </w:rPr>
    </w:lvl>
  </w:abstractNum>
  <w:num w:numId="1">
    <w:abstractNumId w:val="3"/>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8"/>
  </w:num>
  <w:num w:numId="18">
    <w:abstractNumId w:val="17"/>
  </w:num>
  <w:num w:numId="19">
    <w:abstractNumId w:val="0"/>
  </w:num>
  <w:num w:numId="20">
    <w:abstractNumId w:val="8"/>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C0"/>
    <w:rsid w:val="0001433B"/>
    <w:rsid w:val="0001444C"/>
    <w:rsid w:val="00016A4E"/>
    <w:rsid w:val="00024EE7"/>
    <w:rsid w:val="000443F5"/>
    <w:rsid w:val="00046392"/>
    <w:rsid w:val="000500B1"/>
    <w:rsid w:val="0005625B"/>
    <w:rsid w:val="00057709"/>
    <w:rsid w:val="00067798"/>
    <w:rsid w:val="000764B8"/>
    <w:rsid w:val="00077B6C"/>
    <w:rsid w:val="000852A9"/>
    <w:rsid w:val="00085E47"/>
    <w:rsid w:val="000968FF"/>
    <w:rsid w:val="000C4E28"/>
    <w:rsid w:val="000E1CC2"/>
    <w:rsid w:val="000F352E"/>
    <w:rsid w:val="00101A2F"/>
    <w:rsid w:val="00104FDF"/>
    <w:rsid w:val="0013026C"/>
    <w:rsid w:val="001366FC"/>
    <w:rsid w:val="00146B64"/>
    <w:rsid w:val="00160AF8"/>
    <w:rsid w:val="00181E85"/>
    <w:rsid w:val="001A1E28"/>
    <w:rsid w:val="001C41B8"/>
    <w:rsid w:val="001E7150"/>
    <w:rsid w:val="001F18CF"/>
    <w:rsid w:val="001F3792"/>
    <w:rsid w:val="001F3BDB"/>
    <w:rsid w:val="001F5781"/>
    <w:rsid w:val="002024C3"/>
    <w:rsid w:val="00205E7D"/>
    <w:rsid w:val="002340B2"/>
    <w:rsid w:val="00246825"/>
    <w:rsid w:val="002546FD"/>
    <w:rsid w:val="00256FC1"/>
    <w:rsid w:val="00257516"/>
    <w:rsid w:val="002610E1"/>
    <w:rsid w:val="00273142"/>
    <w:rsid w:val="002756D7"/>
    <w:rsid w:val="00282BD4"/>
    <w:rsid w:val="00283AEB"/>
    <w:rsid w:val="002840F8"/>
    <w:rsid w:val="002923E6"/>
    <w:rsid w:val="00297966"/>
    <w:rsid w:val="002A301E"/>
    <w:rsid w:val="002B58F8"/>
    <w:rsid w:val="002C2ECB"/>
    <w:rsid w:val="002E1374"/>
    <w:rsid w:val="002E3EF6"/>
    <w:rsid w:val="002F0168"/>
    <w:rsid w:val="0030430F"/>
    <w:rsid w:val="0030741D"/>
    <w:rsid w:val="0032311A"/>
    <w:rsid w:val="0034349D"/>
    <w:rsid w:val="00343A7D"/>
    <w:rsid w:val="00346657"/>
    <w:rsid w:val="0035053E"/>
    <w:rsid w:val="00354A27"/>
    <w:rsid w:val="00373A2D"/>
    <w:rsid w:val="00373EF5"/>
    <w:rsid w:val="00385E65"/>
    <w:rsid w:val="00392569"/>
    <w:rsid w:val="003938BC"/>
    <w:rsid w:val="003C141C"/>
    <w:rsid w:val="003C4CFA"/>
    <w:rsid w:val="003C6200"/>
    <w:rsid w:val="003E1A37"/>
    <w:rsid w:val="003E674C"/>
    <w:rsid w:val="003E7FC0"/>
    <w:rsid w:val="003F481E"/>
    <w:rsid w:val="00401CD4"/>
    <w:rsid w:val="00410302"/>
    <w:rsid w:val="00421A9B"/>
    <w:rsid w:val="00421E03"/>
    <w:rsid w:val="00447F3C"/>
    <w:rsid w:val="004503B7"/>
    <w:rsid w:val="004634C5"/>
    <w:rsid w:val="00464721"/>
    <w:rsid w:val="004667F3"/>
    <w:rsid w:val="00467766"/>
    <w:rsid w:val="004724E7"/>
    <w:rsid w:val="004848FF"/>
    <w:rsid w:val="004A17D4"/>
    <w:rsid w:val="004A6611"/>
    <w:rsid w:val="004B0FA4"/>
    <w:rsid w:val="004B6C72"/>
    <w:rsid w:val="004B7B10"/>
    <w:rsid w:val="004C1C0A"/>
    <w:rsid w:val="004D6CA0"/>
    <w:rsid w:val="004E3B5A"/>
    <w:rsid w:val="004F1BD8"/>
    <w:rsid w:val="004F1FC3"/>
    <w:rsid w:val="004F4176"/>
    <w:rsid w:val="00507BA2"/>
    <w:rsid w:val="00522E59"/>
    <w:rsid w:val="0053190D"/>
    <w:rsid w:val="0054060D"/>
    <w:rsid w:val="0054458C"/>
    <w:rsid w:val="005447FD"/>
    <w:rsid w:val="00545347"/>
    <w:rsid w:val="00555E42"/>
    <w:rsid w:val="0056275D"/>
    <w:rsid w:val="00563F3E"/>
    <w:rsid w:val="00580427"/>
    <w:rsid w:val="00580DF1"/>
    <w:rsid w:val="00581CE8"/>
    <w:rsid w:val="00586EB1"/>
    <w:rsid w:val="00587A9E"/>
    <w:rsid w:val="00591829"/>
    <w:rsid w:val="00594AE1"/>
    <w:rsid w:val="005B0EC2"/>
    <w:rsid w:val="005B1A6D"/>
    <w:rsid w:val="005B294F"/>
    <w:rsid w:val="005C3556"/>
    <w:rsid w:val="005C5CED"/>
    <w:rsid w:val="005C75B4"/>
    <w:rsid w:val="005D025B"/>
    <w:rsid w:val="005D5ACB"/>
    <w:rsid w:val="005E1FD5"/>
    <w:rsid w:val="005F2F86"/>
    <w:rsid w:val="00601AE2"/>
    <w:rsid w:val="00603AB9"/>
    <w:rsid w:val="00606849"/>
    <w:rsid w:val="0061667A"/>
    <w:rsid w:val="00620E52"/>
    <w:rsid w:val="006257E8"/>
    <w:rsid w:val="006354BF"/>
    <w:rsid w:val="006453ED"/>
    <w:rsid w:val="006461E2"/>
    <w:rsid w:val="00654DA5"/>
    <w:rsid w:val="00662127"/>
    <w:rsid w:val="00673BC3"/>
    <w:rsid w:val="00684238"/>
    <w:rsid w:val="00690112"/>
    <w:rsid w:val="00696055"/>
    <w:rsid w:val="006A57F7"/>
    <w:rsid w:val="006A5FBD"/>
    <w:rsid w:val="006A70AB"/>
    <w:rsid w:val="006B4ECD"/>
    <w:rsid w:val="006C7277"/>
    <w:rsid w:val="006D0660"/>
    <w:rsid w:val="006D518B"/>
    <w:rsid w:val="006F0A7B"/>
    <w:rsid w:val="006F69D2"/>
    <w:rsid w:val="00700236"/>
    <w:rsid w:val="007105FA"/>
    <w:rsid w:val="00713914"/>
    <w:rsid w:val="00715471"/>
    <w:rsid w:val="00721B82"/>
    <w:rsid w:val="007220EA"/>
    <w:rsid w:val="007277A3"/>
    <w:rsid w:val="00741D7D"/>
    <w:rsid w:val="007455C2"/>
    <w:rsid w:val="00770C05"/>
    <w:rsid w:val="0077144D"/>
    <w:rsid w:val="00775750"/>
    <w:rsid w:val="00784DA4"/>
    <w:rsid w:val="007B79AC"/>
    <w:rsid w:val="007C2D4D"/>
    <w:rsid w:val="007D3EC2"/>
    <w:rsid w:val="007E4EAA"/>
    <w:rsid w:val="007E51D8"/>
    <w:rsid w:val="007F0D45"/>
    <w:rsid w:val="007F3475"/>
    <w:rsid w:val="00804C3F"/>
    <w:rsid w:val="00817424"/>
    <w:rsid w:val="00825B4C"/>
    <w:rsid w:val="00827490"/>
    <w:rsid w:val="00830869"/>
    <w:rsid w:val="008329C0"/>
    <w:rsid w:val="008352B4"/>
    <w:rsid w:val="008508BC"/>
    <w:rsid w:val="00855A73"/>
    <w:rsid w:val="00871CD6"/>
    <w:rsid w:val="008729B1"/>
    <w:rsid w:val="00875750"/>
    <w:rsid w:val="00877435"/>
    <w:rsid w:val="0088245B"/>
    <w:rsid w:val="00882B5C"/>
    <w:rsid w:val="00890F54"/>
    <w:rsid w:val="00897CB0"/>
    <w:rsid w:val="008A1591"/>
    <w:rsid w:val="008A61F5"/>
    <w:rsid w:val="008A69C9"/>
    <w:rsid w:val="008A7C2F"/>
    <w:rsid w:val="008B08CF"/>
    <w:rsid w:val="008D0D0D"/>
    <w:rsid w:val="008D5CA0"/>
    <w:rsid w:val="008D68B1"/>
    <w:rsid w:val="008E300F"/>
    <w:rsid w:val="008E5F53"/>
    <w:rsid w:val="008F6B62"/>
    <w:rsid w:val="00900DD3"/>
    <w:rsid w:val="00907EF8"/>
    <w:rsid w:val="009258CA"/>
    <w:rsid w:val="00931B17"/>
    <w:rsid w:val="00942148"/>
    <w:rsid w:val="0095016E"/>
    <w:rsid w:val="009536AC"/>
    <w:rsid w:val="00955078"/>
    <w:rsid w:val="00956970"/>
    <w:rsid w:val="00957705"/>
    <w:rsid w:val="00960810"/>
    <w:rsid w:val="009620D1"/>
    <w:rsid w:val="00965DB6"/>
    <w:rsid w:val="0098238A"/>
    <w:rsid w:val="00991535"/>
    <w:rsid w:val="009B1272"/>
    <w:rsid w:val="009B2824"/>
    <w:rsid w:val="009B7ED6"/>
    <w:rsid w:val="009E0874"/>
    <w:rsid w:val="00A0356C"/>
    <w:rsid w:val="00A17E37"/>
    <w:rsid w:val="00A3747B"/>
    <w:rsid w:val="00A4695D"/>
    <w:rsid w:val="00A47CD2"/>
    <w:rsid w:val="00A75E37"/>
    <w:rsid w:val="00A877F0"/>
    <w:rsid w:val="00A960B1"/>
    <w:rsid w:val="00A9625A"/>
    <w:rsid w:val="00AA344A"/>
    <w:rsid w:val="00AA5FB7"/>
    <w:rsid w:val="00AB04C6"/>
    <w:rsid w:val="00AB1BAF"/>
    <w:rsid w:val="00AC6255"/>
    <w:rsid w:val="00AC661F"/>
    <w:rsid w:val="00AC726D"/>
    <w:rsid w:val="00AD5914"/>
    <w:rsid w:val="00AE1DC7"/>
    <w:rsid w:val="00AE788B"/>
    <w:rsid w:val="00AF163E"/>
    <w:rsid w:val="00AF6B78"/>
    <w:rsid w:val="00B0181F"/>
    <w:rsid w:val="00B056A5"/>
    <w:rsid w:val="00B23D54"/>
    <w:rsid w:val="00B24B97"/>
    <w:rsid w:val="00B36069"/>
    <w:rsid w:val="00B36819"/>
    <w:rsid w:val="00B63D32"/>
    <w:rsid w:val="00B6505A"/>
    <w:rsid w:val="00B82A36"/>
    <w:rsid w:val="00B83402"/>
    <w:rsid w:val="00B91A09"/>
    <w:rsid w:val="00B95345"/>
    <w:rsid w:val="00BA2B62"/>
    <w:rsid w:val="00BB2F90"/>
    <w:rsid w:val="00BC5B01"/>
    <w:rsid w:val="00BD310A"/>
    <w:rsid w:val="00BD7933"/>
    <w:rsid w:val="00C13999"/>
    <w:rsid w:val="00C275C4"/>
    <w:rsid w:val="00C34B74"/>
    <w:rsid w:val="00C34D5D"/>
    <w:rsid w:val="00C3752C"/>
    <w:rsid w:val="00C46BA3"/>
    <w:rsid w:val="00C471D9"/>
    <w:rsid w:val="00C500D8"/>
    <w:rsid w:val="00C50128"/>
    <w:rsid w:val="00C60B30"/>
    <w:rsid w:val="00C63C58"/>
    <w:rsid w:val="00C65E77"/>
    <w:rsid w:val="00C73E35"/>
    <w:rsid w:val="00C7595B"/>
    <w:rsid w:val="00C81AD4"/>
    <w:rsid w:val="00C84FA6"/>
    <w:rsid w:val="00C86253"/>
    <w:rsid w:val="00CB53A1"/>
    <w:rsid w:val="00CD2D75"/>
    <w:rsid w:val="00CE0EB5"/>
    <w:rsid w:val="00CE6127"/>
    <w:rsid w:val="00D0727E"/>
    <w:rsid w:val="00D1013B"/>
    <w:rsid w:val="00D211E1"/>
    <w:rsid w:val="00D26560"/>
    <w:rsid w:val="00D26F08"/>
    <w:rsid w:val="00D37543"/>
    <w:rsid w:val="00D67E72"/>
    <w:rsid w:val="00D718FD"/>
    <w:rsid w:val="00D80E92"/>
    <w:rsid w:val="00D82C11"/>
    <w:rsid w:val="00D90167"/>
    <w:rsid w:val="00DA0598"/>
    <w:rsid w:val="00DA2877"/>
    <w:rsid w:val="00DA60E1"/>
    <w:rsid w:val="00DB14DE"/>
    <w:rsid w:val="00DD559A"/>
    <w:rsid w:val="00DD653A"/>
    <w:rsid w:val="00DE04A7"/>
    <w:rsid w:val="00E00454"/>
    <w:rsid w:val="00E019B9"/>
    <w:rsid w:val="00E177A3"/>
    <w:rsid w:val="00E25D71"/>
    <w:rsid w:val="00E26FAE"/>
    <w:rsid w:val="00E32C58"/>
    <w:rsid w:val="00E374B7"/>
    <w:rsid w:val="00E54AF5"/>
    <w:rsid w:val="00E57ED4"/>
    <w:rsid w:val="00E75F47"/>
    <w:rsid w:val="00E86EB2"/>
    <w:rsid w:val="00EA2BA4"/>
    <w:rsid w:val="00EA2DC1"/>
    <w:rsid w:val="00EB25E0"/>
    <w:rsid w:val="00EB34AB"/>
    <w:rsid w:val="00EB6DA8"/>
    <w:rsid w:val="00ED022A"/>
    <w:rsid w:val="00ED128D"/>
    <w:rsid w:val="00ED3F86"/>
    <w:rsid w:val="00EE6C96"/>
    <w:rsid w:val="00EF3AD7"/>
    <w:rsid w:val="00EF5620"/>
    <w:rsid w:val="00F003EA"/>
    <w:rsid w:val="00F05A83"/>
    <w:rsid w:val="00F129DF"/>
    <w:rsid w:val="00F16FDA"/>
    <w:rsid w:val="00F33C73"/>
    <w:rsid w:val="00F35B77"/>
    <w:rsid w:val="00F3714D"/>
    <w:rsid w:val="00F423F0"/>
    <w:rsid w:val="00F44C2B"/>
    <w:rsid w:val="00F7552F"/>
    <w:rsid w:val="00F76EB5"/>
    <w:rsid w:val="00F776F5"/>
    <w:rsid w:val="00F90251"/>
    <w:rsid w:val="00F97FD8"/>
    <w:rsid w:val="00FC0DCE"/>
    <w:rsid w:val="00FC414F"/>
    <w:rsid w:val="00FC5A30"/>
    <w:rsid w:val="00FE11F7"/>
    <w:rsid w:val="00FF44A1"/>
    <w:rsid w:val="00FF5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23435"/>
  <w15:docId w15:val="{445B66B9-2701-4164-A674-0E403702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customStyle="1" w:styleId="Nivel01">
    <w:name w:val="Nivel 01"/>
    <w:basedOn w:val="Ttulo1"/>
    <w:next w:val="Normal"/>
    <w:link w:val="Nivel01Char"/>
    <w:qFormat/>
    <w:rsid w:val="00586EB1"/>
    <w:pPr>
      <w:keepLines/>
      <w:numPr>
        <w:numId w:val="3"/>
      </w:numPr>
      <w:tabs>
        <w:tab w:val="clear" w:pos="6284"/>
        <w:tab w:val="num" w:pos="360"/>
      </w:tabs>
      <w:spacing w:before="480" w:after="120" w:line="276" w:lineRule="auto"/>
      <w:ind w:left="0" w:right="-15" w:firstLine="0"/>
      <w:jc w:val="both"/>
    </w:pPr>
    <w:rPr>
      <w:rFonts w:ascii="Arial" w:eastAsiaTheme="majorEastAsia" w:hAnsi="Arial"/>
      <w:color w:val="000000"/>
      <w:sz w:val="20"/>
      <w:szCs w:val="20"/>
    </w:rPr>
  </w:style>
  <w:style w:type="paragraph" w:customStyle="1" w:styleId="PADRO">
    <w:name w:val="PADRÃO"/>
    <w:rsid w:val="00586EB1"/>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DA0598"/>
    <w:rPr>
      <w:rFonts w:ascii="Arial" w:eastAsia="Calibri" w:hAnsi="Arial" w:cs="Tahoma"/>
      <w:i/>
      <w:iCs/>
      <w:color w:val="000000"/>
      <w:sz w:val="20"/>
      <w:szCs w:val="24"/>
      <w:shd w:val="clear" w:color="auto" w:fill="FFFFCC"/>
    </w:rPr>
  </w:style>
  <w:style w:type="paragraph" w:customStyle="1" w:styleId="xwestern">
    <w:name w:val="x_western"/>
    <w:basedOn w:val="Normal"/>
    <w:rsid w:val="00DA05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uoteChar">
    <w:name w:val="Quote Char"/>
    <w:basedOn w:val="Fontepargpadro"/>
    <w:link w:val="Citao1"/>
    <w:locked/>
    <w:rsid w:val="00DA059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Forte">
    <w:name w:val="Strong"/>
    <w:basedOn w:val="Fontepargpadro"/>
    <w:uiPriority w:val="22"/>
    <w:qFormat/>
    <w:rsid w:val="00DA0598"/>
    <w:rPr>
      <w:b/>
      <w:bCs/>
    </w:rPr>
  </w:style>
  <w:style w:type="character" w:customStyle="1" w:styleId="citao2Char">
    <w:name w:val="citação 2 Char"/>
    <w:basedOn w:val="CitaoChar"/>
    <w:link w:val="citao2"/>
    <w:locked/>
    <w:rsid w:val="002340B2"/>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2340B2"/>
  </w:style>
  <w:style w:type="character" w:customStyle="1" w:styleId="Nivel01Char">
    <w:name w:val="Nivel 01 Char"/>
    <w:basedOn w:val="Fontepargpadro"/>
    <w:link w:val="Nivel01"/>
    <w:locked/>
    <w:rsid w:val="00817424"/>
    <w:rPr>
      <w:rFonts w:ascii="Arial" w:eastAsiaTheme="majorEastAsia" w:hAnsi="Arial" w:cs="Times New Roman"/>
      <w:b/>
      <w:bCs/>
      <w:color w:val="000000"/>
      <w:sz w:val="20"/>
      <w:szCs w:val="20"/>
      <w:lang w:eastAsia="pt-BR"/>
    </w:rPr>
  </w:style>
  <w:style w:type="paragraph" w:customStyle="1" w:styleId="PargrafodaLista1">
    <w:name w:val="Parágrafo da Lista1"/>
    <w:basedOn w:val="Normal"/>
    <w:qFormat/>
    <w:rsid w:val="0081742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ormaltextrun">
    <w:name w:val="normaltextrun"/>
    <w:basedOn w:val="Fontepargpadro"/>
    <w:rsid w:val="00817424"/>
  </w:style>
  <w:style w:type="character" w:customStyle="1" w:styleId="MenoPendente1">
    <w:name w:val="Menção Pendente1"/>
    <w:basedOn w:val="Fontepargpadro"/>
    <w:uiPriority w:val="99"/>
    <w:semiHidden/>
    <w:unhideWhenUsed/>
    <w:rsid w:val="00D211E1"/>
    <w:rPr>
      <w:color w:val="605E5C"/>
      <w:shd w:val="clear" w:color="auto" w:fill="E1DFDD"/>
    </w:rPr>
  </w:style>
  <w:style w:type="paragraph" w:styleId="Corpodetexto2">
    <w:name w:val="Body Text 2"/>
    <w:basedOn w:val="Normal"/>
    <w:link w:val="Corpodetexto2Char"/>
    <w:rsid w:val="006D0660"/>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6D0660"/>
    <w:rPr>
      <w:rFonts w:ascii="Times New Roman" w:eastAsia="Times New Roman" w:hAnsi="Times New Roman" w:cs="Times New Roman"/>
      <w:sz w:val="20"/>
      <w:szCs w:val="20"/>
      <w:lang w:eastAsia="pt-BR"/>
    </w:rPr>
  </w:style>
  <w:style w:type="character" w:customStyle="1" w:styleId="MenoPendente2">
    <w:name w:val="Menção Pendente2"/>
    <w:basedOn w:val="Fontepargpadro"/>
    <w:uiPriority w:val="99"/>
    <w:semiHidden/>
    <w:unhideWhenUsed/>
    <w:rsid w:val="00E26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1496">
      <w:bodyDiv w:val="1"/>
      <w:marLeft w:val="0"/>
      <w:marRight w:val="0"/>
      <w:marTop w:val="0"/>
      <w:marBottom w:val="0"/>
      <w:divBdr>
        <w:top w:val="none" w:sz="0" w:space="0" w:color="auto"/>
        <w:left w:val="none" w:sz="0" w:space="0" w:color="auto"/>
        <w:bottom w:val="none" w:sz="0" w:space="0" w:color="auto"/>
        <w:right w:val="none" w:sz="0" w:space="0" w:color="auto"/>
      </w:divBdr>
    </w:div>
    <w:div w:id="79914974">
      <w:bodyDiv w:val="1"/>
      <w:marLeft w:val="0"/>
      <w:marRight w:val="0"/>
      <w:marTop w:val="0"/>
      <w:marBottom w:val="0"/>
      <w:divBdr>
        <w:top w:val="none" w:sz="0" w:space="0" w:color="auto"/>
        <w:left w:val="none" w:sz="0" w:space="0" w:color="auto"/>
        <w:bottom w:val="none" w:sz="0" w:space="0" w:color="auto"/>
        <w:right w:val="none" w:sz="0" w:space="0" w:color="auto"/>
      </w:divBdr>
    </w:div>
    <w:div w:id="108203284">
      <w:bodyDiv w:val="1"/>
      <w:marLeft w:val="0"/>
      <w:marRight w:val="0"/>
      <w:marTop w:val="0"/>
      <w:marBottom w:val="0"/>
      <w:divBdr>
        <w:top w:val="none" w:sz="0" w:space="0" w:color="auto"/>
        <w:left w:val="none" w:sz="0" w:space="0" w:color="auto"/>
        <w:bottom w:val="none" w:sz="0" w:space="0" w:color="auto"/>
        <w:right w:val="none" w:sz="0" w:space="0" w:color="auto"/>
      </w:divBdr>
    </w:div>
    <w:div w:id="113596874">
      <w:bodyDiv w:val="1"/>
      <w:marLeft w:val="0"/>
      <w:marRight w:val="0"/>
      <w:marTop w:val="0"/>
      <w:marBottom w:val="0"/>
      <w:divBdr>
        <w:top w:val="none" w:sz="0" w:space="0" w:color="auto"/>
        <w:left w:val="none" w:sz="0" w:space="0" w:color="auto"/>
        <w:bottom w:val="none" w:sz="0" w:space="0" w:color="auto"/>
        <w:right w:val="none" w:sz="0" w:space="0" w:color="auto"/>
      </w:divBdr>
    </w:div>
    <w:div w:id="118307598">
      <w:bodyDiv w:val="1"/>
      <w:marLeft w:val="0"/>
      <w:marRight w:val="0"/>
      <w:marTop w:val="0"/>
      <w:marBottom w:val="0"/>
      <w:divBdr>
        <w:top w:val="none" w:sz="0" w:space="0" w:color="auto"/>
        <w:left w:val="none" w:sz="0" w:space="0" w:color="auto"/>
        <w:bottom w:val="none" w:sz="0" w:space="0" w:color="auto"/>
        <w:right w:val="none" w:sz="0" w:space="0" w:color="auto"/>
      </w:divBdr>
    </w:div>
    <w:div w:id="119081911">
      <w:bodyDiv w:val="1"/>
      <w:marLeft w:val="0"/>
      <w:marRight w:val="0"/>
      <w:marTop w:val="0"/>
      <w:marBottom w:val="0"/>
      <w:divBdr>
        <w:top w:val="none" w:sz="0" w:space="0" w:color="auto"/>
        <w:left w:val="none" w:sz="0" w:space="0" w:color="auto"/>
        <w:bottom w:val="none" w:sz="0" w:space="0" w:color="auto"/>
        <w:right w:val="none" w:sz="0" w:space="0" w:color="auto"/>
      </w:divBdr>
    </w:div>
    <w:div w:id="127212360">
      <w:bodyDiv w:val="1"/>
      <w:marLeft w:val="0"/>
      <w:marRight w:val="0"/>
      <w:marTop w:val="0"/>
      <w:marBottom w:val="0"/>
      <w:divBdr>
        <w:top w:val="none" w:sz="0" w:space="0" w:color="auto"/>
        <w:left w:val="none" w:sz="0" w:space="0" w:color="auto"/>
        <w:bottom w:val="none" w:sz="0" w:space="0" w:color="auto"/>
        <w:right w:val="none" w:sz="0" w:space="0" w:color="auto"/>
      </w:divBdr>
    </w:div>
    <w:div w:id="180898385">
      <w:bodyDiv w:val="1"/>
      <w:marLeft w:val="0"/>
      <w:marRight w:val="0"/>
      <w:marTop w:val="0"/>
      <w:marBottom w:val="0"/>
      <w:divBdr>
        <w:top w:val="none" w:sz="0" w:space="0" w:color="auto"/>
        <w:left w:val="none" w:sz="0" w:space="0" w:color="auto"/>
        <w:bottom w:val="none" w:sz="0" w:space="0" w:color="auto"/>
        <w:right w:val="none" w:sz="0" w:space="0" w:color="auto"/>
      </w:divBdr>
    </w:div>
    <w:div w:id="206532062">
      <w:bodyDiv w:val="1"/>
      <w:marLeft w:val="0"/>
      <w:marRight w:val="0"/>
      <w:marTop w:val="0"/>
      <w:marBottom w:val="0"/>
      <w:divBdr>
        <w:top w:val="none" w:sz="0" w:space="0" w:color="auto"/>
        <w:left w:val="none" w:sz="0" w:space="0" w:color="auto"/>
        <w:bottom w:val="none" w:sz="0" w:space="0" w:color="auto"/>
        <w:right w:val="none" w:sz="0" w:space="0" w:color="auto"/>
      </w:divBdr>
    </w:div>
    <w:div w:id="347299133">
      <w:bodyDiv w:val="1"/>
      <w:marLeft w:val="0"/>
      <w:marRight w:val="0"/>
      <w:marTop w:val="0"/>
      <w:marBottom w:val="0"/>
      <w:divBdr>
        <w:top w:val="none" w:sz="0" w:space="0" w:color="auto"/>
        <w:left w:val="none" w:sz="0" w:space="0" w:color="auto"/>
        <w:bottom w:val="none" w:sz="0" w:space="0" w:color="auto"/>
        <w:right w:val="none" w:sz="0" w:space="0" w:color="auto"/>
      </w:divBdr>
    </w:div>
    <w:div w:id="422577421">
      <w:bodyDiv w:val="1"/>
      <w:marLeft w:val="0"/>
      <w:marRight w:val="0"/>
      <w:marTop w:val="0"/>
      <w:marBottom w:val="0"/>
      <w:divBdr>
        <w:top w:val="none" w:sz="0" w:space="0" w:color="auto"/>
        <w:left w:val="none" w:sz="0" w:space="0" w:color="auto"/>
        <w:bottom w:val="none" w:sz="0" w:space="0" w:color="auto"/>
        <w:right w:val="none" w:sz="0" w:space="0" w:color="auto"/>
      </w:divBdr>
    </w:div>
    <w:div w:id="534470234">
      <w:bodyDiv w:val="1"/>
      <w:marLeft w:val="0"/>
      <w:marRight w:val="0"/>
      <w:marTop w:val="0"/>
      <w:marBottom w:val="0"/>
      <w:divBdr>
        <w:top w:val="none" w:sz="0" w:space="0" w:color="auto"/>
        <w:left w:val="none" w:sz="0" w:space="0" w:color="auto"/>
        <w:bottom w:val="none" w:sz="0" w:space="0" w:color="auto"/>
        <w:right w:val="none" w:sz="0" w:space="0" w:color="auto"/>
      </w:divBdr>
    </w:div>
    <w:div w:id="540482672">
      <w:bodyDiv w:val="1"/>
      <w:marLeft w:val="0"/>
      <w:marRight w:val="0"/>
      <w:marTop w:val="0"/>
      <w:marBottom w:val="0"/>
      <w:divBdr>
        <w:top w:val="none" w:sz="0" w:space="0" w:color="auto"/>
        <w:left w:val="none" w:sz="0" w:space="0" w:color="auto"/>
        <w:bottom w:val="none" w:sz="0" w:space="0" w:color="auto"/>
        <w:right w:val="none" w:sz="0" w:space="0" w:color="auto"/>
      </w:divBdr>
    </w:div>
    <w:div w:id="555698000">
      <w:bodyDiv w:val="1"/>
      <w:marLeft w:val="0"/>
      <w:marRight w:val="0"/>
      <w:marTop w:val="0"/>
      <w:marBottom w:val="0"/>
      <w:divBdr>
        <w:top w:val="none" w:sz="0" w:space="0" w:color="auto"/>
        <w:left w:val="none" w:sz="0" w:space="0" w:color="auto"/>
        <w:bottom w:val="none" w:sz="0" w:space="0" w:color="auto"/>
        <w:right w:val="none" w:sz="0" w:space="0" w:color="auto"/>
      </w:divBdr>
    </w:div>
    <w:div w:id="618025537">
      <w:bodyDiv w:val="1"/>
      <w:marLeft w:val="0"/>
      <w:marRight w:val="0"/>
      <w:marTop w:val="0"/>
      <w:marBottom w:val="0"/>
      <w:divBdr>
        <w:top w:val="none" w:sz="0" w:space="0" w:color="auto"/>
        <w:left w:val="none" w:sz="0" w:space="0" w:color="auto"/>
        <w:bottom w:val="none" w:sz="0" w:space="0" w:color="auto"/>
        <w:right w:val="none" w:sz="0" w:space="0" w:color="auto"/>
      </w:divBdr>
    </w:div>
    <w:div w:id="700131200">
      <w:bodyDiv w:val="1"/>
      <w:marLeft w:val="0"/>
      <w:marRight w:val="0"/>
      <w:marTop w:val="0"/>
      <w:marBottom w:val="0"/>
      <w:divBdr>
        <w:top w:val="none" w:sz="0" w:space="0" w:color="auto"/>
        <w:left w:val="none" w:sz="0" w:space="0" w:color="auto"/>
        <w:bottom w:val="none" w:sz="0" w:space="0" w:color="auto"/>
        <w:right w:val="none" w:sz="0" w:space="0" w:color="auto"/>
      </w:divBdr>
    </w:div>
    <w:div w:id="830868722">
      <w:bodyDiv w:val="1"/>
      <w:marLeft w:val="0"/>
      <w:marRight w:val="0"/>
      <w:marTop w:val="0"/>
      <w:marBottom w:val="0"/>
      <w:divBdr>
        <w:top w:val="none" w:sz="0" w:space="0" w:color="auto"/>
        <w:left w:val="none" w:sz="0" w:space="0" w:color="auto"/>
        <w:bottom w:val="none" w:sz="0" w:space="0" w:color="auto"/>
        <w:right w:val="none" w:sz="0" w:space="0" w:color="auto"/>
      </w:divBdr>
    </w:div>
    <w:div w:id="874851845">
      <w:bodyDiv w:val="1"/>
      <w:marLeft w:val="0"/>
      <w:marRight w:val="0"/>
      <w:marTop w:val="0"/>
      <w:marBottom w:val="0"/>
      <w:divBdr>
        <w:top w:val="none" w:sz="0" w:space="0" w:color="auto"/>
        <w:left w:val="none" w:sz="0" w:space="0" w:color="auto"/>
        <w:bottom w:val="none" w:sz="0" w:space="0" w:color="auto"/>
        <w:right w:val="none" w:sz="0" w:space="0" w:color="auto"/>
      </w:divBdr>
    </w:div>
    <w:div w:id="964696991">
      <w:bodyDiv w:val="1"/>
      <w:marLeft w:val="0"/>
      <w:marRight w:val="0"/>
      <w:marTop w:val="0"/>
      <w:marBottom w:val="0"/>
      <w:divBdr>
        <w:top w:val="none" w:sz="0" w:space="0" w:color="auto"/>
        <w:left w:val="none" w:sz="0" w:space="0" w:color="auto"/>
        <w:bottom w:val="none" w:sz="0" w:space="0" w:color="auto"/>
        <w:right w:val="none" w:sz="0" w:space="0" w:color="auto"/>
      </w:divBdr>
    </w:div>
    <w:div w:id="979529578">
      <w:bodyDiv w:val="1"/>
      <w:marLeft w:val="0"/>
      <w:marRight w:val="0"/>
      <w:marTop w:val="0"/>
      <w:marBottom w:val="0"/>
      <w:divBdr>
        <w:top w:val="none" w:sz="0" w:space="0" w:color="auto"/>
        <w:left w:val="none" w:sz="0" w:space="0" w:color="auto"/>
        <w:bottom w:val="none" w:sz="0" w:space="0" w:color="auto"/>
        <w:right w:val="none" w:sz="0" w:space="0" w:color="auto"/>
      </w:divBdr>
    </w:div>
    <w:div w:id="998383641">
      <w:bodyDiv w:val="1"/>
      <w:marLeft w:val="0"/>
      <w:marRight w:val="0"/>
      <w:marTop w:val="0"/>
      <w:marBottom w:val="0"/>
      <w:divBdr>
        <w:top w:val="none" w:sz="0" w:space="0" w:color="auto"/>
        <w:left w:val="none" w:sz="0" w:space="0" w:color="auto"/>
        <w:bottom w:val="none" w:sz="0" w:space="0" w:color="auto"/>
        <w:right w:val="none" w:sz="0" w:space="0" w:color="auto"/>
      </w:divBdr>
    </w:div>
    <w:div w:id="1062143797">
      <w:bodyDiv w:val="1"/>
      <w:marLeft w:val="0"/>
      <w:marRight w:val="0"/>
      <w:marTop w:val="0"/>
      <w:marBottom w:val="0"/>
      <w:divBdr>
        <w:top w:val="none" w:sz="0" w:space="0" w:color="auto"/>
        <w:left w:val="none" w:sz="0" w:space="0" w:color="auto"/>
        <w:bottom w:val="none" w:sz="0" w:space="0" w:color="auto"/>
        <w:right w:val="none" w:sz="0" w:space="0" w:color="auto"/>
      </w:divBdr>
    </w:div>
    <w:div w:id="1105464114">
      <w:bodyDiv w:val="1"/>
      <w:marLeft w:val="0"/>
      <w:marRight w:val="0"/>
      <w:marTop w:val="0"/>
      <w:marBottom w:val="0"/>
      <w:divBdr>
        <w:top w:val="none" w:sz="0" w:space="0" w:color="auto"/>
        <w:left w:val="none" w:sz="0" w:space="0" w:color="auto"/>
        <w:bottom w:val="none" w:sz="0" w:space="0" w:color="auto"/>
        <w:right w:val="none" w:sz="0" w:space="0" w:color="auto"/>
      </w:divBdr>
    </w:div>
    <w:div w:id="1113398204">
      <w:bodyDiv w:val="1"/>
      <w:marLeft w:val="0"/>
      <w:marRight w:val="0"/>
      <w:marTop w:val="0"/>
      <w:marBottom w:val="0"/>
      <w:divBdr>
        <w:top w:val="none" w:sz="0" w:space="0" w:color="auto"/>
        <w:left w:val="none" w:sz="0" w:space="0" w:color="auto"/>
        <w:bottom w:val="none" w:sz="0" w:space="0" w:color="auto"/>
        <w:right w:val="none" w:sz="0" w:space="0" w:color="auto"/>
      </w:divBdr>
    </w:div>
    <w:div w:id="1145076703">
      <w:bodyDiv w:val="1"/>
      <w:marLeft w:val="0"/>
      <w:marRight w:val="0"/>
      <w:marTop w:val="0"/>
      <w:marBottom w:val="0"/>
      <w:divBdr>
        <w:top w:val="none" w:sz="0" w:space="0" w:color="auto"/>
        <w:left w:val="none" w:sz="0" w:space="0" w:color="auto"/>
        <w:bottom w:val="none" w:sz="0" w:space="0" w:color="auto"/>
        <w:right w:val="none" w:sz="0" w:space="0" w:color="auto"/>
      </w:divBdr>
    </w:div>
    <w:div w:id="1163088452">
      <w:bodyDiv w:val="1"/>
      <w:marLeft w:val="0"/>
      <w:marRight w:val="0"/>
      <w:marTop w:val="0"/>
      <w:marBottom w:val="0"/>
      <w:divBdr>
        <w:top w:val="none" w:sz="0" w:space="0" w:color="auto"/>
        <w:left w:val="none" w:sz="0" w:space="0" w:color="auto"/>
        <w:bottom w:val="none" w:sz="0" w:space="0" w:color="auto"/>
        <w:right w:val="none" w:sz="0" w:space="0" w:color="auto"/>
      </w:divBdr>
    </w:div>
    <w:div w:id="1227956632">
      <w:bodyDiv w:val="1"/>
      <w:marLeft w:val="0"/>
      <w:marRight w:val="0"/>
      <w:marTop w:val="0"/>
      <w:marBottom w:val="0"/>
      <w:divBdr>
        <w:top w:val="none" w:sz="0" w:space="0" w:color="auto"/>
        <w:left w:val="none" w:sz="0" w:space="0" w:color="auto"/>
        <w:bottom w:val="none" w:sz="0" w:space="0" w:color="auto"/>
        <w:right w:val="none" w:sz="0" w:space="0" w:color="auto"/>
      </w:divBdr>
    </w:div>
    <w:div w:id="1332025158">
      <w:bodyDiv w:val="1"/>
      <w:marLeft w:val="0"/>
      <w:marRight w:val="0"/>
      <w:marTop w:val="0"/>
      <w:marBottom w:val="0"/>
      <w:divBdr>
        <w:top w:val="none" w:sz="0" w:space="0" w:color="auto"/>
        <w:left w:val="none" w:sz="0" w:space="0" w:color="auto"/>
        <w:bottom w:val="none" w:sz="0" w:space="0" w:color="auto"/>
        <w:right w:val="none" w:sz="0" w:space="0" w:color="auto"/>
      </w:divBdr>
    </w:div>
    <w:div w:id="1471480103">
      <w:bodyDiv w:val="1"/>
      <w:marLeft w:val="0"/>
      <w:marRight w:val="0"/>
      <w:marTop w:val="0"/>
      <w:marBottom w:val="0"/>
      <w:divBdr>
        <w:top w:val="none" w:sz="0" w:space="0" w:color="auto"/>
        <w:left w:val="none" w:sz="0" w:space="0" w:color="auto"/>
        <w:bottom w:val="none" w:sz="0" w:space="0" w:color="auto"/>
        <w:right w:val="none" w:sz="0" w:space="0" w:color="auto"/>
      </w:divBdr>
    </w:div>
    <w:div w:id="1480805057">
      <w:bodyDiv w:val="1"/>
      <w:marLeft w:val="0"/>
      <w:marRight w:val="0"/>
      <w:marTop w:val="0"/>
      <w:marBottom w:val="0"/>
      <w:divBdr>
        <w:top w:val="none" w:sz="0" w:space="0" w:color="auto"/>
        <w:left w:val="none" w:sz="0" w:space="0" w:color="auto"/>
        <w:bottom w:val="none" w:sz="0" w:space="0" w:color="auto"/>
        <w:right w:val="none" w:sz="0" w:space="0" w:color="auto"/>
      </w:divBdr>
    </w:div>
    <w:div w:id="1500579851">
      <w:bodyDiv w:val="1"/>
      <w:marLeft w:val="0"/>
      <w:marRight w:val="0"/>
      <w:marTop w:val="0"/>
      <w:marBottom w:val="0"/>
      <w:divBdr>
        <w:top w:val="none" w:sz="0" w:space="0" w:color="auto"/>
        <w:left w:val="none" w:sz="0" w:space="0" w:color="auto"/>
        <w:bottom w:val="none" w:sz="0" w:space="0" w:color="auto"/>
        <w:right w:val="none" w:sz="0" w:space="0" w:color="auto"/>
      </w:divBdr>
    </w:div>
    <w:div w:id="1640259693">
      <w:bodyDiv w:val="1"/>
      <w:marLeft w:val="0"/>
      <w:marRight w:val="0"/>
      <w:marTop w:val="0"/>
      <w:marBottom w:val="0"/>
      <w:divBdr>
        <w:top w:val="none" w:sz="0" w:space="0" w:color="auto"/>
        <w:left w:val="none" w:sz="0" w:space="0" w:color="auto"/>
        <w:bottom w:val="none" w:sz="0" w:space="0" w:color="auto"/>
        <w:right w:val="none" w:sz="0" w:space="0" w:color="auto"/>
      </w:divBdr>
    </w:div>
    <w:div w:id="1658144905">
      <w:bodyDiv w:val="1"/>
      <w:marLeft w:val="0"/>
      <w:marRight w:val="0"/>
      <w:marTop w:val="0"/>
      <w:marBottom w:val="0"/>
      <w:divBdr>
        <w:top w:val="none" w:sz="0" w:space="0" w:color="auto"/>
        <w:left w:val="none" w:sz="0" w:space="0" w:color="auto"/>
        <w:bottom w:val="none" w:sz="0" w:space="0" w:color="auto"/>
        <w:right w:val="none" w:sz="0" w:space="0" w:color="auto"/>
      </w:divBdr>
    </w:div>
    <w:div w:id="1750615472">
      <w:bodyDiv w:val="1"/>
      <w:marLeft w:val="0"/>
      <w:marRight w:val="0"/>
      <w:marTop w:val="0"/>
      <w:marBottom w:val="0"/>
      <w:divBdr>
        <w:top w:val="none" w:sz="0" w:space="0" w:color="auto"/>
        <w:left w:val="none" w:sz="0" w:space="0" w:color="auto"/>
        <w:bottom w:val="none" w:sz="0" w:space="0" w:color="auto"/>
        <w:right w:val="none" w:sz="0" w:space="0" w:color="auto"/>
      </w:divBdr>
    </w:div>
    <w:div w:id="1755470757">
      <w:bodyDiv w:val="1"/>
      <w:marLeft w:val="0"/>
      <w:marRight w:val="0"/>
      <w:marTop w:val="0"/>
      <w:marBottom w:val="0"/>
      <w:divBdr>
        <w:top w:val="none" w:sz="0" w:space="0" w:color="auto"/>
        <w:left w:val="none" w:sz="0" w:space="0" w:color="auto"/>
        <w:bottom w:val="none" w:sz="0" w:space="0" w:color="auto"/>
        <w:right w:val="none" w:sz="0" w:space="0" w:color="auto"/>
      </w:divBdr>
    </w:div>
    <w:div w:id="1964266850">
      <w:bodyDiv w:val="1"/>
      <w:marLeft w:val="0"/>
      <w:marRight w:val="0"/>
      <w:marTop w:val="0"/>
      <w:marBottom w:val="0"/>
      <w:divBdr>
        <w:top w:val="none" w:sz="0" w:space="0" w:color="auto"/>
        <w:left w:val="none" w:sz="0" w:space="0" w:color="auto"/>
        <w:bottom w:val="none" w:sz="0" w:space="0" w:color="auto"/>
        <w:right w:val="none" w:sz="0" w:space="0" w:color="auto"/>
      </w:divBdr>
    </w:div>
    <w:div w:id="1991402161">
      <w:bodyDiv w:val="1"/>
      <w:marLeft w:val="0"/>
      <w:marRight w:val="0"/>
      <w:marTop w:val="0"/>
      <w:marBottom w:val="0"/>
      <w:divBdr>
        <w:top w:val="none" w:sz="0" w:space="0" w:color="auto"/>
        <w:left w:val="none" w:sz="0" w:space="0" w:color="auto"/>
        <w:bottom w:val="none" w:sz="0" w:space="0" w:color="auto"/>
        <w:right w:val="none" w:sz="0" w:space="0" w:color="auto"/>
      </w:divBdr>
    </w:div>
    <w:div w:id="1993293308">
      <w:bodyDiv w:val="1"/>
      <w:marLeft w:val="0"/>
      <w:marRight w:val="0"/>
      <w:marTop w:val="0"/>
      <w:marBottom w:val="0"/>
      <w:divBdr>
        <w:top w:val="none" w:sz="0" w:space="0" w:color="auto"/>
        <w:left w:val="none" w:sz="0" w:space="0" w:color="auto"/>
        <w:bottom w:val="none" w:sz="0" w:space="0" w:color="auto"/>
        <w:right w:val="none" w:sz="0" w:space="0" w:color="auto"/>
      </w:divBdr>
    </w:div>
    <w:div w:id="2098669921">
      <w:bodyDiv w:val="1"/>
      <w:marLeft w:val="0"/>
      <w:marRight w:val="0"/>
      <w:marTop w:val="0"/>
      <w:marBottom w:val="0"/>
      <w:divBdr>
        <w:top w:val="none" w:sz="0" w:space="0" w:color="auto"/>
        <w:left w:val="none" w:sz="0" w:space="0" w:color="auto"/>
        <w:bottom w:val="none" w:sz="0" w:space="0" w:color="auto"/>
        <w:right w:val="none" w:sz="0" w:space="0" w:color="auto"/>
      </w:divBdr>
    </w:div>
    <w:div w:id="21186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5" Type="http://schemas.openxmlformats.org/officeDocument/2006/relationships/webSettings" Target="webSetting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8B1B-03C5-4DF6-BC34-723A1434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9078</Words>
  <Characters>49023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Paulo Moraes</dc:creator>
  <cp:lastModifiedBy>UFF</cp:lastModifiedBy>
  <cp:revision>28</cp:revision>
  <cp:lastPrinted>2019-06-07T13:29:00Z</cp:lastPrinted>
  <dcterms:created xsi:type="dcterms:W3CDTF">2019-05-30T14:17:00Z</dcterms:created>
  <dcterms:modified xsi:type="dcterms:W3CDTF">2019-08-20T16:32:00Z</dcterms:modified>
</cp:coreProperties>
</file>