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242F38B8">
            <wp:simplePos x="0" y="0"/>
            <wp:positionH relativeFrom="column">
              <wp:posOffset>-264160</wp:posOffset>
            </wp:positionH>
            <wp:positionV relativeFrom="paragraph">
              <wp:posOffset>-377825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4ED2F510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A56077">
        <w:rPr>
          <w:rFonts w:asciiTheme="minorHAnsi" w:hAnsiTheme="minorHAnsi" w:cstheme="minorHAnsi"/>
          <w:b w:val="0"/>
        </w:rPr>
        <w:t>VII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A72BD4B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37"/>
      </w:tblGrid>
      <w:tr w:rsidR="00B479C6" w:rsidRPr="00C242EE" w14:paraId="726840AC" w14:textId="77777777" w:rsidTr="000745BD">
        <w:tc>
          <w:tcPr>
            <w:tcW w:w="9920" w:type="dxa"/>
            <w:gridSpan w:val="2"/>
          </w:tcPr>
          <w:p w14:paraId="6DBFCEA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Indicador 1: Licenciamento de Importação eficaz</w:t>
            </w:r>
          </w:p>
        </w:tc>
      </w:tr>
      <w:tr w:rsidR="00B479C6" w:rsidRPr="00C242EE" w14:paraId="4DEA5BCD" w14:textId="77777777" w:rsidTr="000745BD">
        <w:tc>
          <w:tcPr>
            <w:tcW w:w="4960" w:type="dxa"/>
          </w:tcPr>
          <w:p w14:paraId="2485FC8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Item</w:t>
            </w:r>
          </w:p>
        </w:tc>
        <w:tc>
          <w:tcPr>
            <w:tcW w:w="4960" w:type="dxa"/>
          </w:tcPr>
          <w:p w14:paraId="4334714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Descrição</w:t>
            </w:r>
          </w:p>
        </w:tc>
      </w:tr>
      <w:tr w:rsidR="00B479C6" w:rsidRPr="00C242EE" w14:paraId="6646B208" w14:textId="77777777" w:rsidTr="000745BD">
        <w:tc>
          <w:tcPr>
            <w:tcW w:w="4960" w:type="dxa"/>
          </w:tcPr>
          <w:p w14:paraId="32D0AB5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Finalidade</w:t>
            </w:r>
          </w:p>
        </w:tc>
        <w:tc>
          <w:tcPr>
            <w:tcW w:w="4960" w:type="dxa"/>
          </w:tcPr>
          <w:p w14:paraId="0A4A7A69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Registro correto da Licença de Importação; </w:t>
            </w:r>
          </w:p>
        </w:tc>
      </w:tr>
      <w:tr w:rsidR="00B479C6" w:rsidRPr="00C242EE" w14:paraId="78DF1187" w14:textId="77777777" w:rsidTr="000745BD">
        <w:tc>
          <w:tcPr>
            <w:tcW w:w="4960" w:type="dxa"/>
          </w:tcPr>
          <w:p w14:paraId="4128DD5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Meta a cumprir</w:t>
            </w:r>
          </w:p>
        </w:tc>
        <w:tc>
          <w:tcPr>
            <w:tcW w:w="4960" w:type="dxa"/>
          </w:tcPr>
          <w:p w14:paraId="57BFEC7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Inserção de informações corretas, principalmente quanto ao código NCM e enquadramento legal;</w:t>
            </w:r>
          </w:p>
        </w:tc>
      </w:tr>
      <w:tr w:rsidR="00B479C6" w:rsidRPr="00C242EE" w14:paraId="70CEE084" w14:textId="77777777" w:rsidTr="000745BD">
        <w:tc>
          <w:tcPr>
            <w:tcW w:w="4960" w:type="dxa"/>
          </w:tcPr>
          <w:p w14:paraId="20B05DC2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Instrumentos de medição</w:t>
            </w:r>
          </w:p>
        </w:tc>
        <w:tc>
          <w:tcPr>
            <w:tcW w:w="4960" w:type="dxa"/>
          </w:tcPr>
          <w:p w14:paraId="29099CBE" w14:textId="58D40248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Liberação da fiscalização pela Receita Federal, sem qualquer notificação, bem como o recebimento das mercadorias importadas, e seus respectivos documentos na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, em perfeita ordem. </w:t>
            </w:r>
          </w:p>
        </w:tc>
      </w:tr>
      <w:tr w:rsidR="00B479C6" w:rsidRPr="00C242EE" w14:paraId="75C3DBAA" w14:textId="77777777" w:rsidTr="000745BD">
        <w:tc>
          <w:tcPr>
            <w:tcW w:w="4960" w:type="dxa"/>
          </w:tcPr>
          <w:p w14:paraId="4B880A5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Forma de acompanhamento</w:t>
            </w:r>
          </w:p>
        </w:tc>
        <w:tc>
          <w:tcPr>
            <w:tcW w:w="4960" w:type="dxa"/>
          </w:tcPr>
          <w:p w14:paraId="3D014BC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Prioritariamente direto, em contato com a Contratada. Ou em consulta ao Portal Único SISCOMEX.</w:t>
            </w:r>
          </w:p>
        </w:tc>
      </w:tr>
      <w:tr w:rsidR="00B479C6" w:rsidRPr="00C242EE" w14:paraId="32BE3497" w14:textId="77777777" w:rsidTr="000745BD">
        <w:tc>
          <w:tcPr>
            <w:tcW w:w="4960" w:type="dxa"/>
          </w:tcPr>
          <w:p w14:paraId="75CEFD91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Periodicidade</w:t>
            </w:r>
          </w:p>
        </w:tc>
        <w:tc>
          <w:tcPr>
            <w:tcW w:w="4960" w:type="dxa"/>
          </w:tcPr>
          <w:p w14:paraId="20E2AAC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Por embarque</w:t>
            </w:r>
          </w:p>
        </w:tc>
      </w:tr>
      <w:tr w:rsidR="00B479C6" w:rsidRPr="00C242EE" w14:paraId="1B84EF54" w14:textId="77777777" w:rsidTr="000745BD">
        <w:tc>
          <w:tcPr>
            <w:tcW w:w="4960" w:type="dxa"/>
          </w:tcPr>
          <w:p w14:paraId="45F44358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Mecanismo de cálculo</w:t>
            </w:r>
          </w:p>
        </w:tc>
        <w:tc>
          <w:tcPr>
            <w:tcW w:w="4960" w:type="dxa"/>
          </w:tcPr>
          <w:p w14:paraId="46C8738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Problemas verificados por embarque, onde reste comprovada a responsabilidade da Contratada:</w:t>
            </w:r>
          </w:p>
          <w:p w14:paraId="1305568B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a) Nenhum problema – Serviço aprovado; </w:t>
            </w:r>
          </w:p>
          <w:p w14:paraId="4ED5CB11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 Serviço aprovado,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7ADC2A55" w14:textId="37BCA7DE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financeira, mas prejuízos às atividades da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serviço sujeito a ajuste no pagamento;</w:t>
            </w:r>
          </w:p>
          <w:p w14:paraId="6B50F2F1" w14:textId="77962861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serviço sujeito a ajuste no pagamento;</w:t>
            </w:r>
          </w:p>
        </w:tc>
      </w:tr>
      <w:tr w:rsidR="00B479C6" w:rsidRPr="00C242EE" w14:paraId="79007228" w14:textId="77777777" w:rsidTr="000745BD">
        <w:tc>
          <w:tcPr>
            <w:tcW w:w="4960" w:type="dxa"/>
          </w:tcPr>
          <w:p w14:paraId="55DE330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Início de vigência</w:t>
            </w:r>
          </w:p>
        </w:tc>
        <w:tc>
          <w:tcPr>
            <w:tcW w:w="4960" w:type="dxa"/>
          </w:tcPr>
          <w:p w14:paraId="485827EC" w14:textId="238D5D1C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No momento da solicitação de registro da Licença de Importação pela </w:t>
            </w:r>
            <w:r>
              <w:rPr>
                <w:rFonts w:eastAsia="MS Mincho"/>
                <w:lang w:eastAsia="en-US"/>
              </w:rPr>
              <w:t>Gestão do Contrato</w:t>
            </w:r>
          </w:p>
        </w:tc>
      </w:tr>
      <w:tr w:rsidR="00B479C6" w:rsidRPr="00C242EE" w14:paraId="476CA648" w14:textId="77777777" w:rsidTr="000745BD">
        <w:tc>
          <w:tcPr>
            <w:tcW w:w="4960" w:type="dxa"/>
          </w:tcPr>
          <w:p w14:paraId="2128582D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lastRenderedPageBreak/>
              <w:t>Faixas de ajuste no pagamento</w:t>
            </w:r>
          </w:p>
        </w:tc>
        <w:tc>
          <w:tcPr>
            <w:tcW w:w="4960" w:type="dxa"/>
          </w:tcPr>
          <w:p w14:paraId="23CB82B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Conforme incidência de problemas, descritos no item “Mecanismo de Cálculo”:</w:t>
            </w:r>
          </w:p>
          <w:p w14:paraId="5161EA6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a) Nenhum Problema - pagamento integral à Contratada;</w:t>
            </w:r>
          </w:p>
          <w:p w14:paraId="3469BE3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–pagamento integral à Contratada,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57B4280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 - Retenção de 10% (dez por cento) do valor do pagamento a ser efetuado à Contratada;</w:t>
            </w:r>
          </w:p>
          <w:p w14:paraId="3570E778" w14:textId="220DF718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Reparação total do dano financeiro causado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.</w:t>
            </w:r>
          </w:p>
        </w:tc>
      </w:tr>
      <w:tr w:rsidR="00B479C6" w:rsidRPr="00C242EE" w14:paraId="02175F02" w14:textId="77777777" w:rsidTr="000745BD">
        <w:tc>
          <w:tcPr>
            <w:tcW w:w="4960" w:type="dxa"/>
          </w:tcPr>
          <w:p w14:paraId="2E340122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Sanções</w:t>
            </w:r>
          </w:p>
        </w:tc>
        <w:tc>
          <w:tcPr>
            <w:tcW w:w="4960" w:type="dxa"/>
          </w:tcPr>
          <w:p w14:paraId="1C1C3B3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 Contratada será notificada por comunicação eletrônica pela fiscalização.  Em caso de reincidência, a empresa estará sujeita a aplicação das sanções previstas no item “Sanções Administrativas” do Termo de Referência, sem prejuízo da aplicação do IMR.</w:t>
            </w:r>
          </w:p>
        </w:tc>
      </w:tr>
      <w:tr w:rsidR="00B479C6" w:rsidRPr="00C242EE" w14:paraId="242D242F" w14:textId="77777777" w:rsidTr="000745BD">
        <w:tc>
          <w:tcPr>
            <w:tcW w:w="4960" w:type="dxa"/>
          </w:tcPr>
          <w:p w14:paraId="55A4768A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Observações</w:t>
            </w:r>
          </w:p>
        </w:tc>
        <w:tc>
          <w:tcPr>
            <w:tcW w:w="4960" w:type="dxa"/>
          </w:tcPr>
          <w:p w14:paraId="2164696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Os casos omissos serão resolvidos pelos fiscais do Contrato.</w:t>
            </w:r>
          </w:p>
        </w:tc>
      </w:tr>
    </w:tbl>
    <w:p w14:paraId="1ED4CFE6" w14:textId="015D9F49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392"/>
      </w:tblGrid>
      <w:tr w:rsidR="00B479C6" w:rsidRPr="00C242EE" w14:paraId="7B6649D8" w14:textId="77777777" w:rsidTr="000745BD">
        <w:tc>
          <w:tcPr>
            <w:tcW w:w="8682" w:type="dxa"/>
            <w:gridSpan w:val="2"/>
          </w:tcPr>
          <w:p w14:paraId="715F9865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Indicador 2: Desembaraço Aduaneiro eficaz</w:t>
            </w:r>
          </w:p>
        </w:tc>
      </w:tr>
      <w:tr w:rsidR="00B479C6" w:rsidRPr="00C242EE" w14:paraId="65C3B8C2" w14:textId="77777777" w:rsidTr="000745BD">
        <w:tc>
          <w:tcPr>
            <w:tcW w:w="4290" w:type="dxa"/>
          </w:tcPr>
          <w:p w14:paraId="1E2BE25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Item</w:t>
            </w:r>
          </w:p>
        </w:tc>
        <w:tc>
          <w:tcPr>
            <w:tcW w:w="4392" w:type="dxa"/>
          </w:tcPr>
          <w:p w14:paraId="1496519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b/>
                <w:lang w:eastAsia="en-US"/>
              </w:rPr>
            </w:pPr>
            <w:r w:rsidRPr="00C242EE">
              <w:rPr>
                <w:rFonts w:eastAsia="MS Mincho"/>
                <w:b/>
                <w:lang w:eastAsia="en-US"/>
              </w:rPr>
              <w:t>Descrição</w:t>
            </w:r>
          </w:p>
        </w:tc>
      </w:tr>
      <w:tr w:rsidR="00B479C6" w:rsidRPr="00C242EE" w14:paraId="61882E4A" w14:textId="77777777" w:rsidTr="000745BD">
        <w:tc>
          <w:tcPr>
            <w:tcW w:w="4290" w:type="dxa"/>
          </w:tcPr>
          <w:p w14:paraId="2093D43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Finalidade</w:t>
            </w:r>
          </w:p>
        </w:tc>
        <w:tc>
          <w:tcPr>
            <w:tcW w:w="4392" w:type="dxa"/>
          </w:tcPr>
          <w:p w14:paraId="62408DA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Processo correto de desembaraço aduaneiro;</w:t>
            </w:r>
          </w:p>
        </w:tc>
      </w:tr>
      <w:tr w:rsidR="00B479C6" w:rsidRPr="00C242EE" w14:paraId="7F119828" w14:textId="77777777" w:rsidTr="000745BD">
        <w:tc>
          <w:tcPr>
            <w:tcW w:w="4290" w:type="dxa"/>
          </w:tcPr>
          <w:p w14:paraId="4064C42B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Meta a cumprir</w:t>
            </w:r>
          </w:p>
        </w:tc>
        <w:tc>
          <w:tcPr>
            <w:tcW w:w="4392" w:type="dxa"/>
          </w:tcPr>
          <w:p w14:paraId="74C6860D" w14:textId="0BE4174E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Completar o desembaraço aduaneiro de forma rápida, de forma a não gerar prejuízos financeiros para 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, e inserção correta de informações na Declaração de Importação ou DSI;</w:t>
            </w:r>
          </w:p>
        </w:tc>
      </w:tr>
      <w:tr w:rsidR="00B479C6" w:rsidRPr="00C242EE" w14:paraId="31449429" w14:textId="77777777" w:rsidTr="000745BD">
        <w:tc>
          <w:tcPr>
            <w:tcW w:w="4290" w:type="dxa"/>
          </w:tcPr>
          <w:p w14:paraId="6107250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Instrumentos de medição</w:t>
            </w:r>
          </w:p>
        </w:tc>
        <w:tc>
          <w:tcPr>
            <w:tcW w:w="4392" w:type="dxa"/>
          </w:tcPr>
          <w:p w14:paraId="6A253A90" w14:textId="31EA2BB5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Liberação da fiscalização pela Receita Federal, sem qualquer notificação, bem como o recebimento das mercadorias importadas, e seus respectivos documentos na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, em perfeita ordem.</w:t>
            </w:r>
          </w:p>
        </w:tc>
      </w:tr>
      <w:tr w:rsidR="00B479C6" w:rsidRPr="00C242EE" w14:paraId="355EDA80" w14:textId="77777777" w:rsidTr="000745BD">
        <w:tc>
          <w:tcPr>
            <w:tcW w:w="4290" w:type="dxa"/>
          </w:tcPr>
          <w:p w14:paraId="2EF4A75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Forma de acompanhamento</w:t>
            </w:r>
          </w:p>
        </w:tc>
        <w:tc>
          <w:tcPr>
            <w:tcW w:w="4392" w:type="dxa"/>
          </w:tcPr>
          <w:p w14:paraId="7AC3674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Prioritariamente direto, em contato com a Contratada. Ou em consulta ao Portal Único SISCOMEX.</w:t>
            </w:r>
          </w:p>
        </w:tc>
      </w:tr>
      <w:tr w:rsidR="00B479C6" w:rsidRPr="00C242EE" w14:paraId="18D10F30" w14:textId="77777777" w:rsidTr="000745BD">
        <w:tc>
          <w:tcPr>
            <w:tcW w:w="4290" w:type="dxa"/>
          </w:tcPr>
          <w:p w14:paraId="12F13F2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Periodicidade</w:t>
            </w:r>
          </w:p>
        </w:tc>
        <w:tc>
          <w:tcPr>
            <w:tcW w:w="4392" w:type="dxa"/>
          </w:tcPr>
          <w:p w14:paraId="4C0FE500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Por embarque</w:t>
            </w:r>
          </w:p>
        </w:tc>
      </w:tr>
      <w:tr w:rsidR="00B479C6" w:rsidRPr="00C242EE" w14:paraId="4819F7BB" w14:textId="77777777" w:rsidTr="000745BD">
        <w:tc>
          <w:tcPr>
            <w:tcW w:w="4290" w:type="dxa"/>
          </w:tcPr>
          <w:p w14:paraId="27406447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lastRenderedPageBreak/>
              <w:t>Mecanismo de cálculo</w:t>
            </w:r>
          </w:p>
        </w:tc>
        <w:tc>
          <w:tcPr>
            <w:tcW w:w="4392" w:type="dxa"/>
          </w:tcPr>
          <w:p w14:paraId="6C53C857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Conforme incidência de problemas, descritos no item “Mecanismo de Cálculo”:</w:t>
            </w:r>
          </w:p>
          <w:p w14:paraId="6539958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a) Nenhum Problema - pagamento integral à Contratada;</w:t>
            </w:r>
          </w:p>
          <w:p w14:paraId="6D2B74C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 xml:space="preserve">b) Problema(s) de menor gravidade –pagamento integral à Contratada, porém </w:t>
            </w:r>
            <w:proofErr w:type="gramStart"/>
            <w:r w:rsidRPr="00C242EE">
              <w:rPr>
                <w:rFonts w:eastAsia="MS Mincho"/>
                <w:lang w:eastAsia="en-US"/>
              </w:rPr>
              <w:t>a mesma</w:t>
            </w:r>
            <w:proofErr w:type="gramEnd"/>
            <w:r w:rsidRPr="00C242EE">
              <w:rPr>
                <w:rFonts w:eastAsia="MS Mincho"/>
                <w:lang w:eastAsia="en-US"/>
              </w:rPr>
              <w:t xml:space="preserve"> receberá uma notificação, para ciência e providências corretivas;</w:t>
            </w:r>
          </w:p>
          <w:p w14:paraId="372BCA5D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c) Problema(s) grave(s), que não gerem prejuízos de ordem financeira - Retenção de 10% (dez por cento) do valor do pagamento a ser efetuado à Contratada;</w:t>
            </w:r>
          </w:p>
          <w:p w14:paraId="25FF2422" w14:textId="18708ACA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d) Problema(s) grave(s), que gerem prejuízos financeiros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 xml:space="preserve"> – Reparação total do dano financeiro causado à UF</w:t>
            </w:r>
            <w:r>
              <w:rPr>
                <w:rFonts w:eastAsia="MS Mincho"/>
                <w:lang w:eastAsia="en-US"/>
              </w:rPr>
              <w:t>F</w:t>
            </w:r>
            <w:r w:rsidRPr="00C242EE">
              <w:rPr>
                <w:rFonts w:eastAsia="MS Mincho"/>
                <w:lang w:eastAsia="en-US"/>
              </w:rPr>
              <w:t>.</w:t>
            </w:r>
          </w:p>
        </w:tc>
      </w:tr>
      <w:tr w:rsidR="00B479C6" w:rsidRPr="00C242EE" w14:paraId="7D602B6B" w14:textId="77777777" w:rsidTr="000745BD">
        <w:tc>
          <w:tcPr>
            <w:tcW w:w="4290" w:type="dxa"/>
          </w:tcPr>
          <w:p w14:paraId="2741906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Início de vigência</w:t>
            </w:r>
          </w:p>
        </w:tc>
        <w:tc>
          <w:tcPr>
            <w:tcW w:w="4392" w:type="dxa"/>
          </w:tcPr>
          <w:p w14:paraId="194EC174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No momento do envio dos dados para registro da Declaração de Importação, pela Divisão de Importação à Contratada.</w:t>
            </w:r>
          </w:p>
        </w:tc>
      </w:tr>
      <w:tr w:rsidR="00B479C6" w:rsidRPr="00C242EE" w14:paraId="543B5509" w14:textId="77777777" w:rsidTr="000745BD">
        <w:tc>
          <w:tcPr>
            <w:tcW w:w="4290" w:type="dxa"/>
          </w:tcPr>
          <w:p w14:paraId="6D6EB57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Faixas de ajuste no pagamento</w:t>
            </w:r>
          </w:p>
        </w:tc>
        <w:tc>
          <w:tcPr>
            <w:tcW w:w="4392" w:type="dxa"/>
          </w:tcPr>
          <w:p w14:paraId="4B353B93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 desconto no pagamento será calculado pela Divisão de Importação considerando o prejuízo financeiro causado.</w:t>
            </w:r>
          </w:p>
        </w:tc>
      </w:tr>
      <w:tr w:rsidR="00B479C6" w:rsidRPr="00C242EE" w14:paraId="303449CB" w14:textId="77777777" w:rsidTr="000745BD">
        <w:tc>
          <w:tcPr>
            <w:tcW w:w="4290" w:type="dxa"/>
          </w:tcPr>
          <w:p w14:paraId="033A23EC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Sanções</w:t>
            </w:r>
          </w:p>
        </w:tc>
        <w:tc>
          <w:tcPr>
            <w:tcW w:w="4392" w:type="dxa"/>
          </w:tcPr>
          <w:p w14:paraId="6880CC8E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A Contratada será notificada por comunicação eletrônica pela fiscalização.  Em caso de reincidência, a empresa estará sujeita a aplicação das sanções previstas no item “Sanções Administrativas” do Termo de Referência, sem prejuízo da aplicação do IMR.</w:t>
            </w:r>
          </w:p>
        </w:tc>
      </w:tr>
      <w:tr w:rsidR="00B479C6" w:rsidRPr="00C242EE" w14:paraId="32A7449F" w14:textId="77777777" w:rsidTr="000745BD">
        <w:tc>
          <w:tcPr>
            <w:tcW w:w="4290" w:type="dxa"/>
          </w:tcPr>
          <w:p w14:paraId="60FFB1EF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Observações</w:t>
            </w:r>
          </w:p>
        </w:tc>
        <w:tc>
          <w:tcPr>
            <w:tcW w:w="4392" w:type="dxa"/>
          </w:tcPr>
          <w:p w14:paraId="4C59F8B6" w14:textId="77777777" w:rsidR="00B479C6" w:rsidRPr="00C242EE" w:rsidRDefault="00B479C6" w:rsidP="000745B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/>
                <w:highlight w:val="yellow"/>
                <w:lang w:eastAsia="en-US"/>
              </w:rPr>
            </w:pPr>
            <w:r w:rsidRPr="00C242EE">
              <w:rPr>
                <w:rFonts w:eastAsia="MS Mincho"/>
                <w:lang w:eastAsia="en-US"/>
              </w:rPr>
              <w:t>Os casos omissos serão resolvidos pelos fiscais do Contrato.</w:t>
            </w:r>
          </w:p>
        </w:tc>
      </w:tr>
    </w:tbl>
    <w:p w14:paraId="7FB46472" w14:textId="77777777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F28A2D2" w14:textId="14FB1A99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00381DED" w14:textId="03E0C55F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610090CC" w14:textId="77777777" w:rsidR="00B479C6" w:rsidRDefault="00B479C6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3089387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B47A883" w14:textId="2718726C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FEA61FD" w14:textId="0DBE0F10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549EDF" w14:textId="7C5FA47A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C35E9DB" w14:textId="3B597B68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2E02091" w14:textId="1B4E4813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2FBBDF" w14:textId="77777777" w:rsidR="00B479C6" w:rsidRDefault="00B479C6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2405"/>
        <w:gridCol w:w="2854"/>
        <w:gridCol w:w="1019"/>
      </w:tblGrid>
      <w:tr w:rsidR="00F15BB9" w:rsidRPr="00F15BB9" w14:paraId="45E6B772" w14:textId="77777777" w:rsidTr="00B479C6">
        <w:trPr>
          <w:trHeight w:val="300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B479C6">
        <w:trPr>
          <w:trHeight w:val="288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184ADA03" w:rsidR="00F15BB9" w:rsidRPr="00B479C6" w:rsidRDefault="00F15BB9" w:rsidP="00F15B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79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B479C6" w:rsidRPr="00B479C6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Licenciamento de Importação eficaz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4B5F1BA6" w:rsidR="00F15BB9" w:rsidRPr="00B479C6" w:rsidRDefault="00B479C6" w:rsidP="00F15B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9C6">
              <w:rPr>
                <w:rFonts w:asciiTheme="minorHAnsi" w:eastAsia="MS Mincho" w:hAnsiTheme="minorHAnsi" w:cstheme="minorHAnsi"/>
                <w:sz w:val="22"/>
                <w:szCs w:val="22"/>
                <w:lang w:eastAsia="en-US"/>
              </w:rPr>
              <w:t>Registro correto da Licença de Importação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B479C6">
        <w:trPr>
          <w:trHeight w:val="1512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B479C6" w:rsidRDefault="00F15BB9" w:rsidP="00F15B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B479C6" w:rsidRDefault="00F15BB9" w:rsidP="00F15B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B479C6">
        <w:trPr>
          <w:trHeight w:val="57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B479C6" w:rsidRDefault="00F15BB9" w:rsidP="00F15B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B479C6" w:rsidRDefault="00F15BB9" w:rsidP="00F15B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B479C6">
        <w:trPr>
          <w:trHeight w:val="288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3E15D227" w:rsidR="00F15BB9" w:rsidRPr="00B479C6" w:rsidRDefault="00F15BB9" w:rsidP="00F15B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79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B479C6" w:rsidRPr="00B479C6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en-US"/>
              </w:rPr>
              <w:t>Desembaraço Aduaneiro eficaz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16A6E910" w:rsidR="00F15BB9" w:rsidRPr="00B479C6" w:rsidRDefault="00B479C6" w:rsidP="00F15B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9C6">
              <w:rPr>
                <w:rFonts w:asciiTheme="minorHAnsi" w:eastAsia="MS Mincho" w:hAnsiTheme="minorHAnsi" w:cstheme="minorHAnsi"/>
                <w:sz w:val="22"/>
                <w:szCs w:val="22"/>
                <w:lang w:eastAsia="en-US"/>
              </w:rPr>
              <w:t>Processo correto de desembaraço aduaneiro;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B479C6">
        <w:trPr>
          <w:trHeight w:val="1440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B479C6">
        <w:trPr>
          <w:trHeight w:val="57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B479C6">
        <w:trPr>
          <w:trHeight w:val="1500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B479C6">
        <w:trPr>
          <w:trHeight w:val="696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CC19" w14:textId="77777777" w:rsidR="00DC268A" w:rsidRDefault="00DC268A" w:rsidP="00A116FB">
      <w:r>
        <w:separator/>
      </w:r>
    </w:p>
  </w:endnote>
  <w:endnote w:type="continuationSeparator" w:id="0">
    <w:p w14:paraId="56B09DC0" w14:textId="77777777" w:rsidR="00DC268A" w:rsidRDefault="00DC268A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DAEF" w14:textId="3DD58F0F" w:rsid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CAA74E8" w14:textId="1786B342" w:rsidR="004229AB" w:rsidRPr="00A400E8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A400E8">
      <w:rPr>
        <w:rFonts w:ascii="Calibri" w:hAnsi="Calibri" w:cs="Calibri"/>
        <w:i/>
        <w:iCs/>
        <w:sz w:val="20"/>
        <w:szCs w:val="20"/>
      </w:rPr>
      <w:t xml:space="preserve">Anexo </w:t>
    </w:r>
    <w:r w:rsidR="00A56077">
      <w:rPr>
        <w:rFonts w:ascii="Calibri" w:hAnsi="Calibri" w:cs="Calibri"/>
        <w:i/>
        <w:iCs/>
        <w:sz w:val="20"/>
        <w:szCs w:val="20"/>
      </w:rPr>
      <w:t>V</w:t>
    </w:r>
    <w:r w:rsidR="00A400E8" w:rsidRPr="00A400E8">
      <w:rPr>
        <w:rFonts w:ascii="Calibri" w:hAnsi="Calibri" w:cs="Calibri"/>
        <w:i/>
        <w:iCs/>
        <w:sz w:val="20"/>
        <w:szCs w:val="20"/>
      </w:rPr>
      <w:t>II</w:t>
    </w:r>
    <w:r w:rsidRPr="00A400E8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>
      <w:rPr>
        <w:rFonts w:ascii="Calibri" w:hAnsi="Calibri" w:cs="Calibri"/>
        <w:i/>
        <w:iCs/>
        <w:sz w:val="20"/>
        <w:szCs w:val="20"/>
      </w:rPr>
      <w:tab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</w:t>
    </w:r>
    <w:r w:rsidR="00A400E8" w:rsidRPr="00A400E8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PAGE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A400E8">
      <w:rPr>
        <w:rFonts w:ascii="Calibri" w:hAnsi="Calibri" w:cs="Calibri"/>
        <w:i/>
        <w:iCs/>
        <w:sz w:val="20"/>
        <w:szCs w:val="20"/>
      </w:rPr>
      <w:t>1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  <w:r w:rsidR="00A400E8" w:rsidRPr="00A400E8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begin"/>
    </w:r>
    <w:r w:rsidR="00A400E8" w:rsidRPr="00A400E8">
      <w:rPr>
        <w:rFonts w:ascii="Calibri" w:hAnsi="Calibri" w:cs="Calibri"/>
        <w:i/>
        <w:iCs/>
        <w:sz w:val="20"/>
        <w:szCs w:val="20"/>
      </w:rPr>
      <w:instrText>NUMPAGES  \* Arabic  \* MERGEFORMAT</w:instrTex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separate"/>
    </w:r>
    <w:r w:rsidR="00A400E8" w:rsidRPr="00A400E8">
      <w:rPr>
        <w:rFonts w:ascii="Calibri" w:hAnsi="Calibri" w:cs="Calibri"/>
        <w:i/>
        <w:iCs/>
        <w:sz w:val="20"/>
        <w:szCs w:val="20"/>
      </w:rPr>
      <w:t>2</w:t>
    </w:r>
    <w:r w:rsidR="00A400E8" w:rsidRPr="00A400E8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74AD" w14:textId="77777777" w:rsidR="00DC268A" w:rsidRDefault="00DC268A" w:rsidP="00A116FB">
      <w:r>
        <w:separator/>
      </w:r>
    </w:p>
  </w:footnote>
  <w:footnote w:type="continuationSeparator" w:id="0">
    <w:p w14:paraId="4D49DF94" w14:textId="77777777" w:rsidR="00DC268A" w:rsidRDefault="00DC268A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1422" w14:textId="7777777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E5F">
      <w:rPr>
        <w:rFonts w:ascii="Verdana" w:hAnsi="Verdana"/>
        <w:sz w:val="16"/>
        <w:szCs w:val="16"/>
      </w:rPr>
      <w:t>Fls.__________</w:t>
    </w:r>
  </w:p>
  <w:p w14:paraId="0F7861E1" w14:textId="16E4266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A56077" w:rsidRPr="00A56077">
      <w:rPr>
        <w:rFonts w:ascii="Verdana" w:hAnsi="Verdana"/>
        <w:sz w:val="16"/>
        <w:szCs w:val="16"/>
      </w:rPr>
      <w:t>23069.157588/2020-35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67070"/>
    <w:rsid w:val="000B6630"/>
    <w:rsid w:val="000C1B48"/>
    <w:rsid w:val="00146086"/>
    <w:rsid w:val="00146AC4"/>
    <w:rsid w:val="00153CB1"/>
    <w:rsid w:val="00192574"/>
    <w:rsid w:val="002768F6"/>
    <w:rsid w:val="002E3C88"/>
    <w:rsid w:val="0035712E"/>
    <w:rsid w:val="00374CF3"/>
    <w:rsid w:val="003A78C4"/>
    <w:rsid w:val="003B435E"/>
    <w:rsid w:val="003D6C0A"/>
    <w:rsid w:val="004229AB"/>
    <w:rsid w:val="004261F6"/>
    <w:rsid w:val="00441A6E"/>
    <w:rsid w:val="004D4D7B"/>
    <w:rsid w:val="00505200"/>
    <w:rsid w:val="00536139"/>
    <w:rsid w:val="0055520C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97166B"/>
    <w:rsid w:val="00995FB8"/>
    <w:rsid w:val="009A7DC0"/>
    <w:rsid w:val="009C183D"/>
    <w:rsid w:val="009F46EC"/>
    <w:rsid w:val="00A03318"/>
    <w:rsid w:val="00A116FB"/>
    <w:rsid w:val="00A34BAF"/>
    <w:rsid w:val="00A400E8"/>
    <w:rsid w:val="00A56077"/>
    <w:rsid w:val="00A6222D"/>
    <w:rsid w:val="00A75948"/>
    <w:rsid w:val="00B114CF"/>
    <w:rsid w:val="00B471E5"/>
    <w:rsid w:val="00B479C6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D75223"/>
    <w:rsid w:val="00DC268A"/>
    <w:rsid w:val="00E0769A"/>
    <w:rsid w:val="00E13ED5"/>
    <w:rsid w:val="00E61306"/>
    <w:rsid w:val="00EA2BD4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2</cp:revision>
  <cp:lastPrinted>2019-11-25T23:13:00Z</cp:lastPrinted>
  <dcterms:created xsi:type="dcterms:W3CDTF">2020-09-06T04:17:00Z</dcterms:created>
  <dcterms:modified xsi:type="dcterms:W3CDTF">2020-09-06T04:17:00Z</dcterms:modified>
</cp:coreProperties>
</file>